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688F8E0E" w:rsidR="004B553E" w:rsidRPr="00072E75" w:rsidRDefault="00F415B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Arial Narrow" w:hAnsi="Arial Narrow" w:cs="Arial"/>
              </w:rPr>
              <w:t>Teorij</w:t>
            </w:r>
            <w:r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 xml:space="preserve"> čitanja i razvoj čitateljskih kompetencija djece i mladih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35177146" w:rsidR="004B553E" w:rsidRPr="00072E75" w:rsidRDefault="00F415B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07B5707C" w:rsidR="004B553E" w:rsidRPr="00072E75" w:rsidRDefault="00F415B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Hrvatski jezik i književnost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28C95B95" w:rsidR="004B553E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E57802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E578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3EB5F864" w:rsidR="004B553E" w:rsidRPr="00072E75" w:rsidRDefault="00E578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E578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E578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E578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0FA741C8" w:rsidR="004B553E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7777777" w:rsidR="004B553E" w:rsidRPr="00072E75" w:rsidRDefault="00E5780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E578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E578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35196034" w:rsidR="004B553E" w:rsidRPr="00072E75" w:rsidRDefault="00E578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E578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E578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E5780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0F22D197" w:rsidR="00393964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1266BAAA" w:rsidR="00393964" w:rsidRPr="00072E75" w:rsidRDefault="00E5780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36620704" w:rsidR="00393964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38941BE7" w:rsidR="00393964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A566097" w:rsidR="00453362" w:rsidRPr="00072E75" w:rsidRDefault="00F415BC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6E1BA1B4" w:rsidR="00453362" w:rsidRPr="00072E75" w:rsidRDefault="00F415BC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6F13E01D" w:rsidR="00453362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083703E3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415BC">
              <w:rPr>
                <w:rFonts w:ascii="Times New Roman" w:hAnsi="Times New Roman" w:cs="Times New Roman"/>
                <w:sz w:val="18"/>
                <w:szCs w:val="20"/>
              </w:rPr>
              <w:t>Odjel za kroatistiku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7B872EC8" w:rsidR="00453362" w:rsidRPr="00072E75" w:rsidRDefault="00F415B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66701100" w:rsidR="00453362" w:rsidRPr="00072E75" w:rsidRDefault="00F415B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 prvom tjednu nastave, prema Kalendaru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34FBDC36" w:rsidR="00453362" w:rsidRPr="00072E75" w:rsidRDefault="00F415BC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415BC">
              <w:rPr>
                <w:rFonts w:ascii="Times New Roman" w:hAnsi="Times New Roman" w:cs="Times New Roman"/>
                <w:sz w:val="18"/>
              </w:rPr>
              <w:t xml:space="preserve">U </w:t>
            </w:r>
            <w:r>
              <w:rPr>
                <w:rFonts w:ascii="Times New Roman" w:hAnsi="Times New Roman" w:cs="Times New Roman"/>
                <w:sz w:val="18"/>
              </w:rPr>
              <w:t>zadnjem</w:t>
            </w:r>
            <w:r w:rsidRPr="00F415BC">
              <w:rPr>
                <w:rFonts w:ascii="Times New Roman" w:hAnsi="Times New Roman" w:cs="Times New Roman"/>
                <w:sz w:val="18"/>
              </w:rPr>
              <w:t xml:space="preserve"> tjednu nastave, prema Kalendaru aktivnosti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61A3B2DD" w:rsidR="00453362" w:rsidRPr="00072E75" w:rsidRDefault="00F415B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Kornelija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Kuvač-Levačić</w:t>
            </w:r>
            <w:proofErr w:type="spellEnd"/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5478906C" w:rsidR="00453362" w:rsidRPr="00072E75" w:rsidRDefault="00F415B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klevac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31950EFF" w:rsidR="005D336E" w:rsidRPr="00072E75" w:rsidRDefault="00F415B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 i seminara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50B35EE2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C4BE968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24284302" w:rsidR="00453362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79422C54" w:rsidR="00453362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B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6D2B5C7C" w:rsidR="00453362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1815BFF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Studenti će moći:</w:t>
            </w:r>
          </w:p>
          <w:p w14:paraId="5AB2E7E1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</w:t>
            </w:r>
            <w:r w:rsidRPr="002E7544">
              <w:rPr>
                <w:rFonts w:ascii="Times New Roman" w:hAnsi="Times New Roman" w:cs="Times New Roman"/>
                <w:sz w:val="18"/>
              </w:rPr>
              <w:tab/>
              <w:t>nabrojati vrste čitanja i tipove čitatelja</w:t>
            </w:r>
          </w:p>
          <w:p w14:paraId="1C767CF5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</w:t>
            </w:r>
            <w:r w:rsidRPr="002E7544">
              <w:rPr>
                <w:rFonts w:ascii="Times New Roman" w:hAnsi="Times New Roman" w:cs="Times New Roman"/>
                <w:sz w:val="18"/>
              </w:rPr>
              <w:tab/>
              <w:t>prepoznavati čitateljske tipove u praksi</w:t>
            </w:r>
          </w:p>
          <w:p w14:paraId="08A47642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</w:t>
            </w:r>
            <w:r w:rsidRPr="002E7544">
              <w:rPr>
                <w:rFonts w:ascii="Times New Roman" w:hAnsi="Times New Roman" w:cs="Times New Roman"/>
                <w:sz w:val="18"/>
              </w:rPr>
              <w:tab/>
              <w:t>preporučiti knjigu djetetu ili adolescentu u skladu s trenutkom njegovog individualnog estetsko-literarnog razvoja</w:t>
            </w:r>
          </w:p>
          <w:p w14:paraId="28597EBF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</w:t>
            </w:r>
            <w:r w:rsidRPr="002E7544">
              <w:rPr>
                <w:rFonts w:ascii="Times New Roman" w:hAnsi="Times New Roman" w:cs="Times New Roman"/>
                <w:sz w:val="18"/>
              </w:rPr>
              <w:tab/>
              <w:t>voditi radionicu književne animacije djece i mladih</w:t>
            </w:r>
          </w:p>
          <w:p w14:paraId="3B947FE6" w14:textId="0C6024C8" w:rsidR="00FA0A4B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- povezati teorije o čitanju i čitatelju i praktični rad s mladim čitateljima</w:t>
            </w:r>
          </w:p>
          <w:p w14:paraId="5F81BD6D" w14:textId="702739AE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07E3BC6B" w:rsidR="00310F9A" w:rsidRPr="002E7544" w:rsidRDefault="002E7544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E7544">
              <w:rPr>
                <w:rFonts w:ascii="Times New Roman" w:hAnsi="Times New Roman" w:cs="Times New Roman"/>
                <w:sz w:val="18"/>
              </w:rPr>
              <w:t>Osposobljenost za vođenje radionice književne animacije djece i mladih kao dio kompetencije za rad u ustanovama za odgoj i obrazovanje.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4E8BE155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4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77777777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11DBF22C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4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491BE15B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7777777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2593AD2E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9591776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433C05F0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4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E5780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4DA129CA" w:rsidR="00FC2198" w:rsidRPr="00072E75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0AC799D4" w14:textId="0D8FD004" w:rsidR="00FC2198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4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777777" w:rsidR="00FC2198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6962F82B" w:rsidR="00FC2198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54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60C8372C" w:rsidR="00FC2198" w:rsidRPr="00072E75" w:rsidRDefault="002E75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</w:t>
            </w: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3D8AF6C" w:rsidR="00FC2198" w:rsidRPr="00072E75" w:rsidRDefault="002E75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8A9AE09" w14:textId="77777777" w:rsidR="00F415BC" w:rsidRPr="00F415BC" w:rsidRDefault="00F415BC" w:rsidP="00F415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Kolegij uvodi studente u istraživanja čitanja i razvoja čitateljskih kompetencija koji se tijekom 20. st. počeo spoznavati kao proces neodvojiv od razvoja cjelokupne ličnosti pojedinca. Nove spoznaje o psihološkim i društvenim činiteljima koji oblikuju čitatelja i njegova očekivanja izvršile su utjecaj i na dio književne teorije i kritike koji se bavi čitateljevim razumijevanjem književnog teksta. H. R.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Jauss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i W.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razvijaju u SAD-u književnoteoretsku školu poznatu pod nazivom teorija recepcije ili teorija čitateljskog odgovora. Teorija recepcije posredno je utjecala i na pristup djetetu čitatelju. Vodeći se njezinim spoznajama, studenti će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doboti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uvid u dijete-čitatelja, njegove objektivne mogućnosti doživljaja književnog teksta i očekivanja s obzirom na životno i čitateljsko iskustvo koje ima u pojedinim fazama svojeg literarno-estetskog razvoja u skladu s kojima se sadržaje za čitanje, bilo književne ili neknjiževne.</w:t>
            </w:r>
          </w:p>
          <w:p w14:paraId="00866D76" w14:textId="77777777" w:rsidR="00F415BC" w:rsidRPr="00F415BC" w:rsidRDefault="00F415BC" w:rsidP="00F415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Prikaz najvažnijih istraživanja razvoja čitanja, vrsta čitanja i tipologije čitatelja tijekom 60-ih godina 20. stoljeća, s ciljem da se izrade popisi knjiga koje odgovaraju stupnju prijemčivosti djeteta u odgovarajućoj razvojnoj fazi, dala je Metka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Kordigel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u časopisu Umjetnost i dijete (1991). Čitanje je djelatnost osobe koja odabire i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sustvara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tekst, a ne prima ga samo pasivno (Peti-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Stantić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Stantić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, 2009, 5) Stoga je svaka interpretacija teksta njegovo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sustvaranje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. Čitanjem dolazi do interakcije teksta i čitatelja, a to znači sjedinjenje znanja, iskustva, činjenica i spoznaja, u kojoj autor i čitatelj postaju pripadnici jedne te iste interpretativne zajednice (S.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Fish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4021ECCF" w14:textId="77777777" w:rsidR="00F415BC" w:rsidRPr="00F415BC" w:rsidRDefault="00F415BC" w:rsidP="00F415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15BC">
              <w:rPr>
                <w:rFonts w:ascii="Times New Roman" w:eastAsia="MS Gothic" w:hAnsi="Times New Roman" w:cs="Times New Roman"/>
                <w:sz w:val="18"/>
              </w:rPr>
              <w:t>Razvoju čitateljske vještine pristupa se interdisciplinarno, sa stajališta pedagogije, psihologije, teorije književnosti, lingvistike, kulture, itd. Čitanje književnih tekstova ima različite potencijalne funkcije koje se mijenjaju shodno individualnim potrebama pojedinih čitatelja i njihovim promjenama te u vezi s društvenim okolnostima i potrebama. (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Grosman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>, 2010, 68). Prema najkraćoj definiciji čitanje bi bila čovjekova sposobnost dešifriranja dogovorenog sustava znakova i shvaćanja poruke koju oni nose. Ono, dakle, uvelike ovisi o individualnom stupnju postignutih kognitivnih, socijalnih i emocionalnih vještina. Kada se najjednostavnije želi podijeliti vrste čitanja, onda se obično ističe čitanje radi zabave te čitanje radi dobivanja informacija i učenja. Čitanje radi dobivanja informacija utječe na motivaciju za čitanje radi zabave, a čitanje radi zabave (stečeno u ranoj dobi) pozitivno utječe na akademske vještine. (Stričević, 2009, 42)</w:t>
            </w:r>
          </w:p>
          <w:p w14:paraId="708689BA" w14:textId="77777777" w:rsidR="00F415BC" w:rsidRPr="00F415BC" w:rsidRDefault="00F415BC" w:rsidP="00F415B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Njemački pedagog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Hans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E.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Giehrl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ističe četiri vrste čitanja: informacijsko, evazivno, kognitivno i literarno. Najčešće čitamo da iz tiskane riječi razaberemo neku informaciju pa takvim, informacijskim čitanjem pristupamo tekstovima npr. televizijskog programa, kuharskih recepata i sl. Drugi tip čitanja </w:t>
            </w:r>
            <w:proofErr w:type="spellStart"/>
            <w:r w:rsidRPr="00F415BC">
              <w:rPr>
                <w:rFonts w:ascii="Times New Roman" w:eastAsia="MS Gothic" w:hAnsi="Times New Roman" w:cs="Times New Roman"/>
                <w:sz w:val="18"/>
              </w:rPr>
              <w:t>Giehrl</w:t>
            </w:r>
            <w:proofErr w:type="spellEnd"/>
            <w:r w:rsidRPr="00F415BC">
              <w:rPr>
                <w:rFonts w:ascii="Times New Roman" w:eastAsia="MS Gothic" w:hAnsi="Times New Roman" w:cs="Times New Roman"/>
                <w:sz w:val="18"/>
              </w:rPr>
              <w:t xml:space="preserve"> naziva evazivno čitanje. Tako čitamo kada se želimo maknuti iz svijeta u </w:t>
            </w:r>
          </w:p>
          <w:p w14:paraId="623666BC" w14:textId="1495460D" w:rsidR="00FC2198" w:rsidRPr="00072E75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504A937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1. Suvremene definicije čitanja. Čitanje kao predmet istraživanja humanističkih disciplina (psihologije, pedagogije, kognitivne lingvistike).</w:t>
            </w:r>
          </w:p>
          <w:p w14:paraId="6EDC6D28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2. Čitanje i čitatelji u svjetlu književnih teorija 20. st. Nova kritika (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close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). Fenomenološka hermeneutika (Sartre). Estetika recepcije (W.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, H. R.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Jauss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195490FE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3. Interpretativna zajednica (S.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Fish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) Čitanje u međukulturnom položaju.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Reader-Response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Theory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(teorija o učinku čitanja – S.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Fish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, U. Eco)</w:t>
            </w:r>
          </w:p>
          <w:p w14:paraId="5C4B24AE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4. Čitanje i razumijevanje.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Barthesov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hermeneutički kod. Čitateljska predodžba o tekstu. Realizacija ili konkretizacija umjetničkog djela (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Ingaarden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49CB2132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Aktualizacija teksta.</w:t>
            </w:r>
          </w:p>
          <w:p w14:paraId="10C549EB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5. Čitateljske mogućnosti konkretiziranja književnog teksta kao umjetničke cjeline. Fenomenološka estetika (R.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Ingaarden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). Pojam implicitnog čitatelja – prema implicitnom autoru (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Wayne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Booth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7BB16C2C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Izvaknjiževno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unutarknjiževno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iskustvo – prvi uvjet čitanja. Čitateljeva očekivanja s obzirom na žanr (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međutekstualno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iskustvo).</w:t>
            </w:r>
          </w:p>
          <w:p w14:paraId="608FCFD7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7. Vrste čitanja i tipologija čitatelja – različiti pristupi djetetu - čitatelju. Razvoj čitanja prema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Charlotte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Bühler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Susanne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Engelmann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Struwwelpetrovo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razdoblje, bajkovito razdoblje,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Robinzonovo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razdoblje, herojsko razdoblje, razdoblje lirike i romana.</w:t>
            </w:r>
          </w:p>
          <w:p w14:paraId="08254EB0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Elisabeth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Schliebe-Lippert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Presvjesni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estetski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pradoživljaji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. Razdoblje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izvanestetskog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shvaćanja. Razdoblje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literarnoestetskog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reagiranja i izbora.</w:t>
            </w:r>
          </w:p>
          <w:p w14:paraId="1A4878C7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9. Pet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Giehrlovih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faza literarno-estetskog razvoja. Vrste čitanja (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Hans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E.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Giehrl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): informacijsko, evazivno, kognitivno i literarno. Literarno i neliterarno čitanje. Pragmatično i literarno-estetsko čitanje i njihovi stupnjevi.</w:t>
            </w:r>
          </w:p>
          <w:p w14:paraId="694E1EAA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10. Tipovi djece čitatelja prema Hansu E.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Giehrlu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(Mladi čitatelj, 1968.). Funkcionalno-pragmatički čitatelj. Emocionalno-fantastički čitatelj. Racionalno-intelektualni čitatelj. Literarni čitatelj. Čitanje po etapama razvoja.</w:t>
            </w:r>
          </w:p>
          <w:p w14:paraId="74FB5EAF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11. Jednostavni prozni oblici kao poticaj razvoja dječjih čitateljskih kompetencija. Važnost pričanja i čitanja bajki.</w:t>
            </w:r>
          </w:p>
          <w:p w14:paraId="6A6C543C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12. Čitanje i obrazovanje. Mijenjanje interesa za pojedine književne vrste prema dobi.</w:t>
            </w:r>
          </w:p>
          <w:p w14:paraId="58E87AF4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lastRenderedPageBreak/>
              <w:t>13. Neknjiževni tekstovi u razvoju čitateljskih kompetencija. Metodički postupci u čitanju neknjiževnih tekstova.</w:t>
            </w:r>
          </w:p>
          <w:p w14:paraId="69C1D7D4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14. Dijete – čitatelj i stvaratelj literarnog teksta.</w:t>
            </w:r>
          </w:p>
          <w:p w14:paraId="4C81BD27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Čitanje i kreativnost.</w:t>
            </w:r>
          </w:p>
          <w:p w14:paraId="2842528B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15. Analiza studentskih izvješća o sudjelovanju u književnoj animaciji djece i mladih, rezimiranje sadržaja kolegija, evaluacija</w:t>
            </w:r>
          </w:p>
          <w:p w14:paraId="13655C04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287BDCD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Seminari – NAPOMENA</w:t>
            </w:r>
          </w:p>
          <w:p w14:paraId="1C2CF715" w14:textId="1C892BBB" w:rsidR="00FC2198" w:rsidRPr="00072E75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2E7544">
              <w:rPr>
                <w:rFonts w:ascii="Times New Roman" w:eastAsia="MS Gothic" w:hAnsi="Times New Roman" w:cs="Times New Roman"/>
                <w:sz w:val="18"/>
              </w:rPr>
              <w:t>Studenti će izabrati tekst na temelju kojega će samostalno kreirati i realizirati radionicu čitateljske animacije s ostalim kolegama. Ovisno o broju studenata, tjedne radionice će održavati jedan ili dvoje studenata</w:t>
            </w: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211B63E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Grosman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, Meta, U obranu čitanja: čitatelji i književnost u 21. stoljeću, Zagreb, 2010.</w:t>
            </w:r>
          </w:p>
          <w:p w14:paraId="7C891241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18E4E7D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Antoine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Compagnon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, Demon teorije, AGM, Zagreb, 2007. Poglavlje: Čitatelj, str. 161.-192.</w:t>
            </w:r>
          </w:p>
          <w:p w14:paraId="3B65DA2B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D6F6568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Kordigel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 xml:space="preserve">, Metka, Razvoj čitanja, vrste čitanja i tipologija čitalaca, I. dio, Umjetnost i dijete, 2–3/1991, Zagreb, str. 101–123. </w:t>
            </w:r>
          </w:p>
          <w:p w14:paraId="4592330D" w14:textId="77777777" w:rsidR="002E7544" w:rsidRPr="002E7544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07FD0AA" w14:textId="14BD659F" w:rsidR="00FC2198" w:rsidRPr="00072E75" w:rsidRDefault="002E7544" w:rsidP="002E75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E7544">
              <w:rPr>
                <w:rFonts w:ascii="Times New Roman" w:eastAsia="MS Gothic" w:hAnsi="Times New Roman" w:cs="Times New Roman"/>
                <w:sz w:val="18"/>
              </w:rPr>
              <w:t>Kordigel</w:t>
            </w:r>
            <w:proofErr w:type="spellEnd"/>
            <w:r w:rsidRPr="002E7544">
              <w:rPr>
                <w:rFonts w:ascii="Times New Roman" w:eastAsia="MS Gothic" w:hAnsi="Times New Roman" w:cs="Times New Roman"/>
                <w:sz w:val="18"/>
              </w:rPr>
              <w:t>, Metka, Razvoj čitanja, vrste čitanja i tipologija čitalaca, II. dio, Umjetnost i dijete, 4/1991, Zagreb, str. 175–193.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62F45E2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Škopljanac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Lovro. Književnost kao prisjećanje: Što pamte čitatelji. Naklada Ljevak, Zagreb, 2014. </w:t>
            </w:r>
          </w:p>
          <w:p w14:paraId="0E98DA07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Visinko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Karol. Čitanje, poučavanje i učenje. Školska knjiga, Zagreb, 2014.</w:t>
            </w:r>
          </w:p>
          <w:p w14:paraId="18F0F9D0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Pšihistal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Ružica, O književnosti kroz dimenziju čitanja/hranjenja, u: Čitanje za školu i život. IV. Simpozij učitelja i nastavnika hrvatskog jezika. Zbornik radova.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Miroslav) Agencija za odgoj i obrazovanje, Zagreb, 2013., na: http://www.azoo.hr/images/izdanja/citanje/06.html  </w:t>
            </w:r>
          </w:p>
          <w:p w14:paraId="6FAC6E09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Eco,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Umberto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Model čitatelja, u: Republika : mjesečnik za književnost, umjetnost i javni život, God.44 (1988), 9/10,, str. 92-105</w:t>
            </w:r>
          </w:p>
          <w:p w14:paraId="4506486E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Bruno Bettelheim, Smisao i značenje bajki, Roditeljska biblioteka, Rijeka, 2000.</w:t>
            </w:r>
          </w:p>
          <w:p w14:paraId="1D1572DD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Peti-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Stantić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Anita –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Stantić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Mirta, Užitak čitanja, intelektualna razbibriga i/ili intelektualna potreba, u: Čitanje – obaveza ili užitak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prir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. R. Javor) Knjižnice grada Zagreba, Zagreb, 2009.</w:t>
            </w:r>
          </w:p>
          <w:p w14:paraId="5AE44606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25F47CC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Culler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Jonathan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Književna teorija. Vrlo kratak uvod, Zagreb, 2001.</w:t>
            </w:r>
          </w:p>
          <w:p w14:paraId="1C521B01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4E2AA31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Manguel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Alberto, Povijest čitanja, Zagreb, 2001.</w:t>
            </w:r>
          </w:p>
          <w:p w14:paraId="56A7E674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240C304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Kolić-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Vehovec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Svjetlana, Kognitivni i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metakognitivni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aspekti čitanja, u: Čitanje za školu i život. IV. Simpozij učitelja i nastavnika hrvatskog jezika. Zbornik radova.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Miroslav) Agencija za odgoj i obrazovanje, Zagreb, 2013., na:  http://www.azoo.hr/images/izdanja/citanje/04.html </w:t>
            </w:r>
          </w:p>
          <w:p w14:paraId="09861FE3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Beker, Miroslav, Suvremene književne teorije, Matica hrvatska, 1999. Poglavlja: </w:t>
            </w:r>
          </w:p>
          <w:p w14:paraId="7981FA1E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-Estetika recepcije –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Hans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Robert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Jauss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Povijest književnosti kao izazov znanosti o književnosti, str. 281-301. -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Wolfgang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Čitateljeva uloga u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Fieldingovu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Josephu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Andrewsu, str. 302.-317.</w:t>
            </w:r>
          </w:p>
          <w:p w14:paraId="0A6539A4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Iser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Wolfgang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 Proces čitanja. Jedan fenomenološki pristup, u: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Lešić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Zdenko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Nova čitanja: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poststrukturalistička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čitanka, Sarajevo, 2003.</w:t>
            </w:r>
          </w:p>
          <w:p w14:paraId="686110BB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- Stanley F.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Fish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Objašnjavajući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Variorum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318.-329.</w:t>
            </w:r>
          </w:p>
          <w:p w14:paraId="6ECBD310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Stričević, Ivanka, Čitanje u kontekstu školskih i narodnih knjižnica: uloga knjižnica u poticanju funkcionalnog čitanja i čitanja iz užitka, Čitanje – obaveza ili užitak, Zagreb, 2009, str. 41–49. </w:t>
            </w:r>
          </w:p>
          <w:p w14:paraId="1C6CF3B1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Hranjec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Stjepan. Pregled hrvatske dječje književnosti. Zagreb, 2006.</w:t>
            </w:r>
          </w:p>
          <w:p w14:paraId="1ACD8FEA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>Kako razvijati kulturu čitanja: zbornik radova sa savjetovanja Kako razvijati kulturu čitanja održanog u Zagrebu 28. travnja 1998. / priredila Ranka Javor. Zagreb : Knjižnice grada Zagreba, 1999.</w:t>
            </w:r>
          </w:p>
          <w:p w14:paraId="5B16C9D7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Tkalec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Gordana, Primjenjivost teorije recepcije na medij interneta,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Fluminensia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2/2010, Rijeka, str. 69–81.</w:t>
            </w:r>
          </w:p>
          <w:p w14:paraId="144A2209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Jadranka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Nemeth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-Jajić, Metodički aspekti čitanja neknjiževnih tekstova u nastavi hrvatskoga jezika, http://www.azoo.hr/images/izdanja/citanje/11.html </w:t>
            </w:r>
          </w:p>
          <w:p w14:paraId="7B088071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03472B4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7211C69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lastRenderedPageBreak/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 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Kornelija, Razvoj i vrste čitanja, tipologija čitatelja s obzirom na čitanje „neknjiževnih“ tekstova, u: Čitanje za školu i život. IV. Simpozij učitelja i nastavnika hrvatskog jezika. Zbornik radova.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Miroslav) Agencija za odgoj i obrazovanje, Zagreb, 2013.  http://www.azoo.hr/images/izdanja/citanje/03.html</w:t>
            </w:r>
          </w:p>
          <w:p w14:paraId="5C4BCAC0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2AE0316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Kornelija, Prilog istraživanju literarnog stvaralaštva učenika osnovnih škola Zadra i Zadarske županije. U: Dijete i estetski izričaji. Zbornik radova s Međunarodnoga znanstvenoga skupa Dijete i estetski izričaji održanoga u Zadru 13. i 14. svibnja 2011. /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Bacalja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Robert,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Ivon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Katarina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.). Zadar : Sveučilište u Zadru, 2014. 161-184</w:t>
            </w:r>
          </w:p>
          <w:p w14:paraId="48B94CF1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7C98D40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Kornelija, Modeli poticanja kreativnosti učenika u aktualnim osnovnoškolskim udžbenicima hrvatskog jezika i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književnosti,u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: MEDNARODNA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konferenca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EDUvision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(2013 ; Ljubljana)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Sodobni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pristopi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poučevanja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prihajajočih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generacij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/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Orel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Mojca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.). - Ljubljana : El. knjiga. -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Polhov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Gradec , 2013. 296-305 (ISBN: 978-961-93189-8-0). http://http://eduvision.si/Content/Docs/Zbornik%20prispevkov%20EDUvision%202013_splet.pdf </w:t>
            </w:r>
          </w:p>
          <w:p w14:paraId="5A3C7F9A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DF82F5B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  Andrijana Kos-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Lajtman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Recepcija autobiografske hrvatske dječje književnosti kod čitatelja starije osnovnoškolske dobi, na: https://bib.irb.hr/datoteka/525090.kos_lajtman_autobiografski_diskurs_djecje_knjizevnosti.pdf </w:t>
            </w:r>
          </w:p>
          <w:p w14:paraId="153D8BEE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52DE314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Ljiljana Marks, O bajci nekoć i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danas,u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: Izazov tradicijske kulture: Svečani zbornik za Zoricu Vitez, Zagreb, 2009.</w:t>
            </w:r>
          </w:p>
          <w:p w14:paraId="7C6D6A40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0C922059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 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Jurdana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Vjekoslava,  Lektira u 6. i 8. razredu osnovne škole (Istraživanje čitalačkih stavova i interesa učenika), u: Metodika, Vol. 6, br. 2., Učiteljski fakultet, Zagreb, 2005.</w:t>
            </w:r>
          </w:p>
          <w:p w14:paraId="5CEFBCFD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4321AC3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Stokmans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J. W. 1999. „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attitude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its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effect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on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leisure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time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Poetics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 26, http://uhl2332k28abuzarman.wikispaces.com/file/view/Reading+attitude+and+its+effect+on+leisure+time+reading.pdf </w:t>
            </w:r>
          </w:p>
          <w:p w14:paraId="41399769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97278A0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Durand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Gilbert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Antropološke strukture imaginarnog, Zagreb, 1991.</w:t>
            </w:r>
          </w:p>
          <w:p w14:paraId="178A7808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62B7F95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Tomašević, Nives, Istraživanje stajališta o čitanju i njihov utjecaj na nakladništvo,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Libellarium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1–2, 2008, str. 221–242.</w:t>
            </w:r>
          </w:p>
          <w:p w14:paraId="3DCA4534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3CDC013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Laszlo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Marija, Informacijsko čitanje u nastavi jezika i književnosti, u: Čitanje za školu i život. IV. Simpozij učitelja i nastavnika hrvatskog jezika. Zbornik radova. (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Mićanović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Miroslav) Agencija za odgoj i obrazovanje, Zagreb, 2013., na:  http://www.azoo.hr/images/izdanja/citanje/07.html  </w:t>
            </w:r>
          </w:p>
          <w:p w14:paraId="574E46C2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  <w:t xml:space="preserve">Stevanović, Marko.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Kreatologija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. Znanost o stvaralaštvu. Vrtić-škola-fakultet. Rijeka, 2000.</w:t>
            </w:r>
          </w:p>
          <w:p w14:paraId="15877D2F" w14:textId="70FD609B" w:rsidR="00466129" w:rsidRPr="00072E75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•</w:t>
            </w:r>
            <w:r w:rsidRPr="00D77786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Zimmermann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Susan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Chryse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Hutchins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. 7 ključeva čitanja s razumijevanjem : kako pomoći djeci da čitaju i razumiju pročitano. Ostvarenje, </w:t>
            </w:r>
            <w:proofErr w:type="spellStart"/>
            <w:r w:rsidRPr="00D77786">
              <w:rPr>
                <w:rFonts w:ascii="Times New Roman" w:eastAsia="MS Gothic" w:hAnsi="Times New Roman" w:cs="Times New Roman"/>
                <w:sz w:val="18"/>
              </w:rPr>
              <w:t>Buševac</w:t>
            </w:r>
            <w:proofErr w:type="spellEnd"/>
            <w:r w:rsidRPr="00D77786">
              <w:rPr>
                <w:rFonts w:ascii="Times New Roman" w:eastAsia="MS Gothic" w:hAnsi="Times New Roman" w:cs="Times New Roman"/>
                <w:sz w:val="18"/>
              </w:rPr>
              <w:t>, 2009.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41EC2B7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https://www.teachingenglish.org.uk/article/theories-reading</w:t>
            </w:r>
          </w:p>
          <w:p w14:paraId="3B20DA18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65BAEF8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http://www.azoo.hr/images/izdanja/citanje/index.html</w:t>
            </w:r>
          </w:p>
          <w:p w14:paraId="365461A5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E32D307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 xml:space="preserve">http://bcs.bedfordstmartins.com/Virtualit/poetry/critical_define/crit_reader.html </w:t>
            </w:r>
          </w:p>
          <w:p w14:paraId="5ED69672" w14:textId="77777777" w:rsidR="00D77786" w:rsidRPr="00D77786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D22F7A4" w14:textId="69568A9F" w:rsidR="00FC2198" w:rsidRPr="00072E75" w:rsidRDefault="00D77786" w:rsidP="00D7778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Ostali izvori bit će dostupni u e-kolegiju.</w:t>
            </w: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E578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DAA770C" w:rsidR="00B71A57" w:rsidRPr="00072E75" w:rsidRDefault="00E578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78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E578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E578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E578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E3B3F8A" w:rsidR="00B71A57" w:rsidRPr="00072E75" w:rsidRDefault="00E578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5C4662F4" w:rsidR="00B71A57" w:rsidRPr="00072E75" w:rsidRDefault="00E578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E5780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6CC27068" w:rsidR="00B71A57" w:rsidRPr="00072E75" w:rsidRDefault="00E5780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78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15685F5F" w:rsidR="00B71A57" w:rsidRPr="00072E75" w:rsidRDefault="00E5780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7778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u e-kolegiju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5D1CCDCC" w:rsidR="00FC2198" w:rsidRPr="00072E75" w:rsidRDefault="00D77786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77786">
              <w:rPr>
                <w:rFonts w:ascii="Times New Roman" w:eastAsia="MS Gothic" w:hAnsi="Times New Roman" w:cs="Times New Roman"/>
                <w:sz w:val="18"/>
              </w:rPr>
              <w:t>Konačna ocjena proizlazi iz zbroja ocjena svih triju navedenih elemenata pri čemu ni jedan element ne smije biti ocijenjen negativnom ocjenom (završni usmeni 34%, praktični rad 33%, rad u e-kolegiju 33%).</w:t>
            </w:r>
            <w:bookmarkStart w:id="0" w:name="_GoBack"/>
            <w:bookmarkEnd w:id="0"/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E578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BECF" w14:textId="77777777" w:rsidR="00E57802" w:rsidRDefault="00E57802" w:rsidP="009947BA">
      <w:pPr>
        <w:spacing w:before="0" w:after="0"/>
      </w:pPr>
      <w:r>
        <w:separator/>
      </w:r>
    </w:p>
  </w:endnote>
  <w:endnote w:type="continuationSeparator" w:id="0">
    <w:p w14:paraId="3BAC5AEF" w14:textId="77777777" w:rsidR="00E57802" w:rsidRDefault="00E5780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C1DA" w14:textId="77777777" w:rsidR="00E57802" w:rsidRDefault="00E57802" w:rsidP="009947BA">
      <w:pPr>
        <w:spacing w:before="0" w:after="0"/>
      </w:pPr>
      <w:r>
        <w:separator/>
      </w:r>
    </w:p>
  </w:footnote>
  <w:footnote w:type="continuationSeparator" w:id="0">
    <w:p w14:paraId="7F7E22F1" w14:textId="77777777" w:rsidR="00E57802" w:rsidRDefault="00E57802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72E75"/>
    <w:rsid w:val="000C0578"/>
    <w:rsid w:val="0010332B"/>
    <w:rsid w:val="001443A2"/>
    <w:rsid w:val="00150B32"/>
    <w:rsid w:val="00175BFD"/>
    <w:rsid w:val="00197510"/>
    <w:rsid w:val="001C7C51"/>
    <w:rsid w:val="0022722C"/>
    <w:rsid w:val="0028545A"/>
    <w:rsid w:val="002E1CE6"/>
    <w:rsid w:val="002E7544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B71A57"/>
    <w:rsid w:val="00B7307A"/>
    <w:rsid w:val="00C02454"/>
    <w:rsid w:val="00C3477B"/>
    <w:rsid w:val="00C80651"/>
    <w:rsid w:val="00C85956"/>
    <w:rsid w:val="00C9733D"/>
    <w:rsid w:val="00CA3783"/>
    <w:rsid w:val="00CA517B"/>
    <w:rsid w:val="00CB23F4"/>
    <w:rsid w:val="00D136E4"/>
    <w:rsid w:val="00D5334D"/>
    <w:rsid w:val="00D5523D"/>
    <w:rsid w:val="00D77786"/>
    <w:rsid w:val="00D944DF"/>
    <w:rsid w:val="00DD110C"/>
    <w:rsid w:val="00DE6D53"/>
    <w:rsid w:val="00E06E39"/>
    <w:rsid w:val="00E07D73"/>
    <w:rsid w:val="00E17D18"/>
    <w:rsid w:val="00E30E67"/>
    <w:rsid w:val="00E57802"/>
    <w:rsid w:val="00EB5A72"/>
    <w:rsid w:val="00F02A8F"/>
    <w:rsid w:val="00F22855"/>
    <w:rsid w:val="00F415BC"/>
    <w:rsid w:val="00F513E0"/>
    <w:rsid w:val="00F566DA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7C6E-AE5F-4ECC-AC38-58F4B40C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2494</Words>
  <Characters>14222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kkuvac</cp:lastModifiedBy>
  <cp:revision>4</cp:revision>
  <cp:lastPrinted>2021-02-12T11:27:00Z</cp:lastPrinted>
  <dcterms:created xsi:type="dcterms:W3CDTF">2023-04-11T11:21:00Z</dcterms:created>
  <dcterms:modified xsi:type="dcterms:W3CDTF">2023-04-11T11:28:00Z</dcterms:modified>
</cp:coreProperties>
</file>