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7A6F5D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3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2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7E26E8B9" w14:textId="5AA3D507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63937B0F" w14:textId="0F16DEA0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E34DC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E34DC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2B11CF37" w14:textId="6B0EAFCC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Starija hrvatska književnost 1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778D544F" w14:textId="3606163B" w:rsidR="002024AA" w:rsidRPr="0017531F" w:rsidRDefault="00022827" w:rsidP="002024A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5DDF46E3" w14:textId="44810E80" w:rsidR="004B553E" w:rsidRPr="0017531F" w:rsidRDefault="00E4676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Dv</w:t>
            </w:r>
            <w:r w:rsidR="002024AA">
              <w:rPr>
                <w:rFonts w:ascii="Merriweather" w:hAnsi="Merriweather" w:cs="Times New Roman"/>
                <w:b/>
                <w:sz w:val="18"/>
                <w:szCs w:val="18"/>
              </w:rPr>
              <w:t>opredmetni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198EAD4E" w:rsidR="004B553E" w:rsidRPr="0017531F" w:rsidRDefault="00784A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7477DC0" w14:textId="77777777" w:rsidR="004B553E" w:rsidRPr="0017531F" w:rsidRDefault="00784A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4CB00810" w14:textId="77777777" w:rsidR="004B553E" w:rsidRPr="0017531F" w:rsidRDefault="00784A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784A1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784A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5578F874" w14:textId="0AAF924A" w:rsidR="004B553E" w:rsidRPr="0017531F" w:rsidRDefault="00784A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784A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784A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784A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A9D809F" w:rsidR="004B553E" w:rsidRPr="0017531F" w:rsidRDefault="00784A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82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784A1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62CBCF39" w14:textId="77777777" w:rsidR="004B553E" w:rsidRPr="0017531F" w:rsidRDefault="00784A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784A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1C048B99" w14:textId="6E49FD77" w:rsidR="004B553E" w:rsidRPr="0017531F" w:rsidRDefault="00784A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56C3E2D" w14:textId="77777777" w:rsidR="004B553E" w:rsidRPr="0017531F" w:rsidRDefault="00784A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49A3D22" w14:textId="77777777" w:rsidR="004B553E" w:rsidRPr="0017531F" w:rsidRDefault="00784A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784A1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425B632" w:rsidR="00393964" w:rsidRPr="0017531F" w:rsidRDefault="00784A1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5FCF17CD" w14:textId="77777777" w:rsidR="00393964" w:rsidRPr="0017531F" w:rsidRDefault="00784A1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26D0FABA" w14:textId="1C6F51E5" w:rsidR="00393964" w:rsidRPr="0017531F" w:rsidRDefault="00784A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AE36E5E" w:rsidR="00393964" w:rsidRPr="0017531F" w:rsidRDefault="00784A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8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784A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3AD5683" w:rsidR="00453362" w:rsidRPr="0017531F" w:rsidRDefault="002024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14E00C2" w:rsidR="00453362" w:rsidRPr="0017531F" w:rsidRDefault="00BE05D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77777777" w:rsidR="00453362" w:rsidRPr="0017531F" w:rsidRDefault="00784A1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1DD12252" w14:textId="3B5370C6" w:rsidR="00453362" w:rsidRPr="00B10700" w:rsidRDefault="00B10700" w:rsidP="0079745E">
            <w:pPr>
              <w:spacing w:before="20" w:after="20"/>
              <w:rPr>
                <w:rFonts w:ascii="Merriweather" w:hAnsi="Merriweather" w:cs="Times New Roman"/>
                <w:sz w:val="12"/>
                <w:szCs w:val="12"/>
              </w:rPr>
            </w:pPr>
            <w:r w:rsidRPr="00B10700">
              <w:rPr>
                <w:rFonts w:ascii="Merriweather" w:hAnsi="Merriweather" w:cs="Times New Roman"/>
                <w:sz w:val="12"/>
                <w:szCs w:val="12"/>
              </w:rPr>
              <w:t>P: petkom 14:15 – 15:45  (SK-232)</w:t>
            </w:r>
          </w:p>
          <w:p w14:paraId="7C1ED737" w14:textId="1AE157C0" w:rsidR="00B10700" w:rsidRPr="0017531F" w:rsidRDefault="00B107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2"/>
                <w:szCs w:val="12"/>
              </w:rPr>
              <w:t>S: petkom 16:00 – 1</w:t>
            </w:r>
            <w:r w:rsidR="00BE05DB">
              <w:rPr>
                <w:rFonts w:ascii="Merriweather" w:hAnsi="Merriweather" w:cs="Times New Roman"/>
                <w:sz w:val="12"/>
                <w:szCs w:val="12"/>
              </w:rPr>
              <w:t>6:45</w:t>
            </w:r>
            <w:r w:rsidRPr="00B10700">
              <w:rPr>
                <w:rFonts w:ascii="Merriweather" w:hAnsi="Merriweather" w:cs="Times New Roman"/>
                <w:sz w:val="12"/>
                <w:szCs w:val="12"/>
              </w:rPr>
              <w:t xml:space="preserve"> (SK-232)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1828081B" w:rsidR="00453362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10060D7F" w14:textId="247F96C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4DC82483" w:rsidR="00453362" w:rsidRPr="0017531F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08B22948" w14:textId="1B8CBCA7" w:rsidR="00453362" w:rsidRPr="0017531F" w:rsidRDefault="00A51E6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1F385C33" w14:textId="76503B54" w:rsidR="00453362" w:rsidRPr="0017531F" w:rsidRDefault="00B107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red. prof. dr. sc. Divna Mrdeža Antonina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6D33DC5" w14:textId="6503187D" w:rsidR="00453362" w:rsidRPr="00E30999" w:rsidRDefault="00B10700" w:rsidP="00B107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6"/>
                <w:szCs w:val="16"/>
              </w:rPr>
              <w:t>divna.antonina@gmail.com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2879C367" w:rsidR="00B10700" w:rsidRPr="0017531F" w:rsidRDefault="00B107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10-11</w:t>
            </w:r>
          </w:p>
        </w:tc>
      </w:tr>
      <w:tr w:rsidR="00A51E6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2833FE84" w14:textId="3F1BFE7B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red. prof. dr. sc. Divna Mrdeža Antonina</w:t>
            </w:r>
          </w:p>
        </w:tc>
      </w:tr>
      <w:tr w:rsidR="00A51E6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F996128" w14:textId="5850EA4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6"/>
                <w:szCs w:val="16"/>
              </w:rPr>
              <w:t>divna.antonina@gmail.com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A30F022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549E00C2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10-11</w:t>
            </w:r>
          </w:p>
        </w:tc>
      </w:tr>
      <w:tr w:rsidR="00A51E69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171DDBDE" w14:textId="3A8281D3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Josip Vučković, prof.</w:t>
            </w:r>
          </w:p>
        </w:tc>
      </w:tr>
      <w:tr w:rsidR="00A51E69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2A0886C" w14:textId="7EE15A76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josipvuckovic@yahoo.com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639E3BA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62BA51E" w14:textId="110F85CD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2"/>
                <w:szCs w:val="12"/>
              </w:rPr>
            </w:pPr>
            <w:r w:rsidRPr="00A51E69">
              <w:rPr>
                <w:rFonts w:ascii="Merriweather" w:hAnsi="Merriweather" w:cs="Times New Roman"/>
                <w:sz w:val="12"/>
                <w:szCs w:val="12"/>
              </w:rPr>
              <w:t>Uživo: petkom 13-14, 17:30-18</w:t>
            </w:r>
          </w:p>
          <w:p w14:paraId="486333C9" w14:textId="353D1544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2"/>
                <w:szCs w:val="12"/>
              </w:rPr>
              <w:t>MS Teams: prema dogovoru</w:t>
            </w:r>
          </w:p>
        </w:tc>
      </w:tr>
      <w:tr w:rsidR="00A51E69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6BCBD6F2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BF5D967" w14:textId="13496AFB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1A24CDD" w14:textId="77777777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A6B8B48" w14:textId="77777777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A51E6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6258CD62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258BFAB" w14:textId="77777777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1BDED25" w14:textId="7A628D1E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EB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E3F7F1A" w14:textId="47ED8A8A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1E69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39B2168F" w14:textId="475B6BDE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objasniti problematiku istraživanja i proučavanja hrvatskog književnog naslijeđa</w:t>
            </w:r>
          </w:p>
          <w:p w14:paraId="001834A2" w14:textId="77777777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razlikovati metode istraživanja književnih tekstova iz prošlosti, problematiku periodizacije i sustav književnih vrsta;</w:t>
            </w:r>
          </w:p>
          <w:p w14:paraId="3BA7E5AC" w14:textId="77777777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razumjeti specifičnosti hrvatskog književnog srednjovjekovlja;</w:t>
            </w:r>
          </w:p>
          <w:p w14:paraId="13E2A08B" w14:textId="6E615410" w:rsidR="00A51E69" w:rsidRP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1E69">
              <w:rPr>
                <w:rFonts w:ascii="Merriweather" w:eastAsia="MS Gothic" w:hAnsi="Merriweather" w:cs="Times New Roman"/>
                <w:sz w:val="16"/>
                <w:szCs w:val="16"/>
              </w:rPr>
              <w:t>- razgraničiti žanrovski sastav srednjovjekovne književnosti</w:t>
            </w:r>
          </w:p>
        </w:tc>
      </w:tr>
      <w:tr w:rsidR="00A51E69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63B85835" w14:textId="3892749F" w:rsidR="00827988" w:rsidRPr="00827988" w:rsidRDefault="00827988" w:rsidP="00827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analizirati i interpretirati reprezentativne tekstove hrvatske srednjovjekovne, renesansne, barokne i prosvjetiteljske književnosti</w:t>
            </w:r>
          </w:p>
          <w:p w14:paraId="321CDC6B" w14:textId="7CE5F3B9" w:rsidR="00827988" w:rsidRPr="00827988" w:rsidRDefault="00827988" w:rsidP="00827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interpretirati i usporediti reprezentativna djela iz hrvatske i svjetske književnosti</w:t>
            </w:r>
          </w:p>
          <w:p w14:paraId="1840D5AE" w14:textId="235F6FC7" w:rsidR="00827988" w:rsidRPr="00827988" w:rsidRDefault="00827988" w:rsidP="00827988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827988">
              <w:rPr>
                <w:rFonts w:ascii="Merriweather" w:eastAsia="MS Gothic" w:hAnsi="Merriweather" w:cs="Times New Roman"/>
                <w:sz w:val="16"/>
                <w:szCs w:val="16"/>
              </w:rPr>
              <w:t>razlikovati različite žanrovske pristupe književnim djelima (interpretacija, osvrt, kritika, književnoznanstvena rasprava)</w:t>
            </w:r>
          </w:p>
          <w:p w14:paraId="12CA2F78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A51E69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17F7A7B1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4CF020" w14:textId="77777777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1A4CF06" w14:textId="77777777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7AA6D305" w14:textId="77777777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51E6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7777777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5C9BDAE" w14:textId="77777777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7E795A" w14:textId="0C1ED226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A0253ED" w14:textId="77777777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5164649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51E6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2735A807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DCFC45D" w14:textId="39E5C045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6ACE101" w14:textId="381C233D" w:rsidR="00A51E69" w:rsidRPr="0017531F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65C618B6" w14:textId="77777777" w:rsidR="00A51E69" w:rsidRDefault="00784A1F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E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  <w:p w14:paraId="0140A634" w14:textId="3E8844D5" w:rsidR="00671E26" w:rsidRPr="0017531F" w:rsidRDefault="00671E26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Seminarski rad za studente koji zbog kolizije nisu u mogućnosti pohađati nastavu.</w:t>
            </w:r>
          </w:p>
        </w:tc>
      </w:tr>
      <w:tr w:rsidR="00A51E6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789D0F34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Redovito pohađanje nastave</w:t>
            </w:r>
          </w:p>
          <w:p w14:paraId="5FD653E1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E571364" w14:textId="13D96813" w:rsid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Od studenata se očekuje da redovito pohađaju predavanja i seminare, da čitaju lektiru i obaveznu sekundarnu literaturu i da aktivno sudjeluju u raspravama. </w:t>
            </w:r>
            <w:r w:rsidR="00671E26">
              <w:rPr>
                <w:rFonts w:ascii="Merriweather" w:hAnsi="Merriweather" w:cs="Times New Roman"/>
                <w:sz w:val="16"/>
                <w:szCs w:val="16"/>
              </w:rPr>
              <w:t xml:space="preserve">Studenti s </w:t>
            </w:r>
            <w:r w:rsidR="00671E26" w:rsidRPr="00671E26">
              <w:rPr>
                <w:rFonts w:ascii="Merriweather" w:hAnsi="Merriweather" w:cs="Times New Roman"/>
                <w:sz w:val="16"/>
                <w:szCs w:val="16"/>
              </w:rPr>
              <w:t xml:space="preserve">predavanja mogu izostati najviše pet puta, a sa seminara najviše tri puta. Studenti s većim brojem izostanaka gube pravo izlaska na ispit. Od toga su izuzeti dvopredmentni studenti koji imaju službeno rješenje o prilagodbi studija ili potvrdu o koliziji s obvezama na drugoj studijskoj grupi: od njih se očekuje da se na početku semestra jave nastavniku na </w:t>
            </w:r>
            <w:hyperlink r:id="rId11" w:history="1">
              <w:r w:rsidR="00671E26" w:rsidRPr="00671E26">
                <w:rPr>
                  <w:rFonts w:ascii="Merriweather" w:hAnsi="Merriweather" w:cs="Times New Roman"/>
                  <w:sz w:val="16"/>
                  <w:szCs w:val="16"/>
                </w:rPr>
                <w:t>josipvuckovic@yahoo.com</w:t>
              </w:r>
            </w:hyperlink>
            <w:r w:rsidR="00671E26" w:rsidRPr="00671E26">
              <w:rPr>
                <w:rFonts w:ascii="Merriweather" w:hAnsi="Merriweather" w:cs="Times New Roman"/>
                <w:sz w:val="16"/>
                <w:szCs w:val="16"/>
              </w:rPr>
              <w:t xml:space="preserve"> kako bi preuzeli istraživačke projekte koji će rezultirati seminarskim radom koji će se smatrati nadomjestkom za pohađanje nastave.</w:t>
            </w:r>
          </w:p>
          <w:p w14:paraId="7D4E1F4A" w14:textId="3913434F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057A742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Usmeno izlaganje</w:t>
            </w:r>
          </w:p>
          <w:p w14:paraId="5DB85A47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309F70E" w14:textId="49D04840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Studenti tijekom semestra trebaju održati usmeno izlaganje i aktivno sudjelovati u raspravama. Pozitivna ocjena iz usmenoga izlaganja i sudjelovanja u raspravama jedan je od uvjeta za izlazak na usmeni ispit.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Usmeno izlaganje treba uključivati rad na izvorima: izlagači trebaju pripremiti uručke s odabranim ulomcima iz analiziranih vrela, tumačem slabije poznatih riječi i teže razumljivih konstrukcija.</w:t>
            </w:r>
          </w:p>
          <w:p w14:paraId="7CA12014" w14:textId="4878F154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2CF02BF" w14:textId="467DC8CD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Seminarski rad</w:t>
            </w:r>
            <w:r w:rsidR="00671E2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 za studente s kolizijom</w:t>
            </w:r>
          </w:p>
          <w:p w14:paraId="2EDE0179" w14:textId="77777777" w:rsidR="00A51E69" w:rsidRPr="009556F6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BDBBFE6" w14:textId="2FB0BA65" w:rsidR="00671E26" w:rsidRPr="00671E26" w:rsidRDefault="00671E26" w:rsidP="00671E2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671E26">
              <w:rPr>
                <w:rFonts w:ascii="Merriweather" w:hAnsi="Merriweather" w:cs="Times New Roman"/>
                <w:sz w:val="16"/>
                <w:szCs w:val="16"/>
              </w:rPr>
              <w:t xml:space="preserve">Pozitivno ocijenjen istraživački seminarski rad </w:t>
            </w:r>
            <w:r w:rsidR="00B45CBA">
              <w:rPr>
                <w:rFonts w:ascii="Merriweather" w:hAnsi="Merriweather" w:cs="Times New Roman"/>
                <w:sz w:val="16"/>
                <w:szCs w:val="16"/>
              </w:rPr>
              <w:t xml:space="preserve">(3000 riječi) </w:t>
            </w:r>
            <w:r w:rsidRPr="00671E26">
              <w:rPr>
                <w:rFonts w:ascii="Merriweather" w:hAnsi="Merriweather" w:cs="Times New Roman"/>
                <w:sz w:val="16"/>
                <w:szCs w:val="16"/>
              </w:rPr>
              <w:t>jedan je od uvjeta za izlazak na usmeni ispit za dvopredmetne studente koji temeljem rješenja o prilagodbi studija ili potvrde o koliziji budu oslobođeni obveze redovitoga pohađanja nastave.</w:t>
            </w:r>
          </w:p>
          <w:p w14:paraId="60C06CB0" w14:textId="77777777" w:rsidR="00671E26" w:rsidRPr="00671E26" w:rsidRDefault="00671E26" w:rsidP="00671E2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62F7D71" w14:textId="0B300332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Studenti koji pišu seminarski rad do 1. prosinca trebaju predati najmanje dvije kartice započeta rada i izvijestiti nastavnika o tijeku istraživanja.</w:t>
            </w:r>
          </w:p>
          <w:p w14:paraId="76EC442B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1B327F82" w14:textId="77777777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sz w:val="16"/>
                <w:szCs w:val="16"/>
              </w:rPr>
              <w:t>Rok za predaju završne verzije seminarskoga rada: seminar br. 14. Od toga se izuzimaju studenti s rješenjem o prilagodbi studija koji seminarski rad mogu predati tri dana prije izlaska na usmeni ispit.</w:t>
            </w:r>
          </w:p>
          <w:p w14:paraId="1FB93C34" w14:textId="77777777" w:rsid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3B5CCB17" w14:textId="14DAD63E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Kolokviji i pismeni ispit</w:t>
            </w:r>
          </w:p>
          <w:p w14:paraId="6F585F72" w14:textId="77777777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C527A32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i/>
                <w:iCs/>
                <w:sz w:val="16"/>
                <w:szCs w:val="16"/>
              </w:rPr>
              <w:t>Kolokviji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. Tijekom semestra organizirat će se dva kolokvija. Pozitivna ocjena iz obaju kolokvija studente oslobađa obveze izlaska na pismeni ispit. Kolokviji će se održati na početku 8. i 15. seminara. Prvi će kolokvij provjeravati poznavanje sadržaja iz predavanja 1–7 i seminara 1–7, a drugi kolokvij poznavanje sadržaja iz predavanja 8–14 i seminara 8–14.</w:t>
            </w:r>
          </w:p>
          <w:p w14:paraId="7326ABA6" w14:textId="77777777" w:rsidR="009556F6" w:rsidRPr="009556F6" w:rsidRDefault="009556F6" w:rsidP="009556F6">
            <w:pPr>
              <w:ind w:left="7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1A5A804" w14:textId="2AFD8863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9556F6">
              <w:rPr>
                <w:rFonts w:ascii="Merriweather" w:hAnsi="Merriweather" w:cs="Times New Roman"/>
                <w:b/>
                <w:bCs/>
                <w:i/>
                <w:iCs/>
                <w:sz w:val="16"/>
                <w:szCs w:val="16"/>
              </w:rPr>
              <w:t>Pismeni ispit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>. Studenti koji polože oba kolokvija oslobođeni su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obveze polaganja</w:t>
            </w:r>
            <w:r w:rsidRPr="009556F6">
              <w:rPr>
                <w:rFonts w:ascii="Merriweather" w:hAnsi="Merriweather" w:cs="Times New Roman"/>
                <w:sz w:val="16"/>
                <w:szCs w:val="16"/>
              </w:rPr>
              <w:t xml:space="preserve"> pismenoga ispita. Za ostale studente pozitivna ocjena na pismenome ispitu jedan je od uvjeta za izlazak na usmeni ispit. Pismeni se ispiti održavaju u vrijeme ispitnih rokova, nekoliko dana prije održavanja usmenih ispita.</w:t>
            </w:r>
            <w:r w:rsidR="004063A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7797B">
              <w:rPr>
                <w:rFonts w:ascii="Merriweather" w:hAnsi="Merriweather" w:cs="Times New Roman"/>
                <w:sz w:val="16"/>
                <w:szCs w:val="16"/>
              </w:rPr>
              <w:t>Rezultat uspješno položena pismenoga ispita vrijedi do kraja akademske godine i nije mu potrebno ponovno pristupati u slučaju pada na usmenome ispitu.</w:t>
            </w:r>
          </w:p>
        </w:tc>
      </w:tr>
      <w:tr w:rsidR="00A51E6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Ispitni rokovi</w:t>
            </w:r>
          </w:p>
        </w:tc>
        <w:tc>
          <w:tcPr>
            <w:tcW w:w="2903" w:type="dxa"/>
            <w:gridSpan w:val="12"/>
          </w:tcPr>
          <w:p w14:paraId="1B244D7A" w14:textId="3FF879AE" w:rsidR="00A51E69" w:rsidRPr="0017531F" w:rsidRDefault="00784A1F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BD043B" w14:textId="77777777" w:rsidR="00A51E69" w:rsidRPr="0017531F" w:rsidRDefault="00784A1F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20582D24" w14:textId="30C46A4B" w:rsidR="00A51E69" w:rsidRPr="0017531F" w:rsidRDefault="00784A1F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51E6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30038B69" w14:textId="663C5B2D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9"/>
            <w:vAlign w:val="center"/>
          </w:tcPr>
          <w:p w14:paraId="1307FC5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346823C5" w14:textId="1635F0B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A51E6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784EA209" w14:textId="77777777" w:rsidR="00A51E69" w:rsidRP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U uvodnom dijelu kolegija obraća se pažnja na metodologije istraživanja u povijesti književnosti, problematiku periodizacije starijih razdoblja hrvatske književnosti i predstavljanje značajnijih književnih povjesničara. Kolegij tematizira pristupe povijesti književnosti, status autora, socijalne funkcije literature, te poetička i retorička načela razdoblja.</w:t>
            </w:r>
          </w:p>
          <w:p w14:paraId="7BAB2EBF" w14:textId="77777777" w:rsidR="00A51E69" w:rsidRPr="00A51E69" w:rsidRDefault="00A51E69" w:rsidP="00A51E69">
            <w:pPr>
              <w:ind w:left="7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232A0C09" w14:textId="46379032" w:rsidR="00A51E69" w:rsidRPr="00A51E69" w:rsidRDefault="00A51E69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U drugom dijelu kolegija obrađivat će se hrvatsko književno srednjovjekovlje: hrvatska srednjovjekovna književnost u kontekstu europskoga srednovjekovlja; istok i zapad kao emisiona izvorišta. Problematika periodizacije srednjovjekovne kulture, žanrovski sastav hrvatske srednjovjekovne književnosti, početci pismenosti, problem književnog i neknjiževnog u srednjovjekovnim tekstovima, razvoj stiha, klasifikacija književnih i neknjiževnih tekstova, tiskarstvo u srednjem vijeku, anonimni autori i publika u srednjem vijeku</w:t>
            </w:r>
            <w:r>
              <w:rPr>
                <w:rFonts w:ascii="Merriweather" w:hAnsi="Merriweather" w:cs="Times New Roman"/>
                <w:sz w:val="16"/>
                <w:szCs w:val="16"/>
              </w:rPr>
              <w:t>,</w:t>
            </w:r>
            <w:r w:rsidRPr="00A51E69">
              <w:rPr>
                <w:rFonts w:ascii="Merriweather" w:hAnsi="Merriweather" w:cs="Times New Roman"/>
                <w:sz w:val="16"/>
                <w:szCs w:val="16"/>
              </w:rPr>
              <w:t xml:space="preserve"> usmena komunikacija teksta s čitateljstvom. Srednjovjekovna književnost u ranom novom vijeku.</w:t>
            </w:r>
          </w:p>
        </w:tc>
      </w:tr>
      <w:tr w:rsidR="00A51E6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373B55A9" w14:textId="613AA1DC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3A23D805" w14:textId="77777777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4AEE6E60" w14:textId="7A52160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Uvod. Mijene starije hrvatske književnosti u povijesnome kontekstu: regionalne književne kulture i periodizacija</w:t>
            </w:r>
          </w:p>
          <w:p w14:paraId="380D436D" w14:textId="4E2D659D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2.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Povjesničari starije hrvatske književnosti. Teorijska i metodološka pitanja: imanentistički i kontekstualizacijski pristupi proučavanju starije književnosti</w:t>
            </w:r>
          </w:p>
          <w:p w14:paraId="6FE06B4F" w14:textId="1485A6DE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3.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 xml:space="preserve"> Status i funkcija književnosti u srednjemu vijeku.  Transfer neliturgijskih tekstova u srednjovjekovnoj kulturi. Usmenost, rukopisna kultura i pojava tiska. Mouvance i variance.</w:t>
            </w:r>
          </w:p>
          <w:p w14:paraId="0F81B72E" w14:textId="541918B4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lastRenderedPageBreak/>
              <w:t>4.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 xml:space="preserve"> Hrvatsko srednjovjekovlje: povijesne prilike, jezici i pisma Hrvatska srednjovjekovna književnost u europskome kontekstu. Književne vrste</w:t>
            </w:r>
          </w:p>
          <w:p w14:paraId="7E5D0E63" w14:textId="5442F4BB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5.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I: apokrifi</w:t>
            </w:r>
          </w:p>
          <w:p w14:paraId="52FDF263" w14:textId="4786559D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6.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II: svetačke legende, Marijina čudesa</w:t>
            </w:r>
          </w:p>
          <w:p w14:paraId="734894B5" w14:textId="2AD4146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7.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III: vizije,  svjetovni romani</w:t>
            </w:r>
          </w:p>
          <w:p w14:paraId="427DCE4D" w14:textId="3702CE93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8.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Narativna proza IV:  povijesni zapisi i kronike</w:t>
            </w:r>
          </w:p>
          <w:p w14:paraId="6F604533" w14:textId="5B796E24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9.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Poučna proza</w:t>
            </w:r>
          </w:p>
          <w:p w14:paraId="5B4B9E93" w14:textId="329CB9F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10.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Pjesništvo I</w:t>
            </w:r>
          </w:p>
          <w:p w14:paraId="7F0F60B7" w14:textId="0F802956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11.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Pjesništvo II</w:t>
            </w:r>
          </w:p>
          <w:p w14:paraId="0BFE3B3A" w14:textId="452526F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12. </w:t>
            </w:r>
            <w:r w:rsidR="00CC07F1" w:rsidRPr="00D632CE">
              <w:rPr>
                <w:rFonts w:ascii="Merriweather" w:hAnsi="Merriweather" w:cs="Times New Roman"/>
                <w:sz w:val="16"/>
                <w:szCs w:val="16"/>
              </w:rPr>
              <w:t>Dijaloške vrsta: prenja, Marijini plačevi</w:t>
            </w:r>
          </w:p>
          <w:p w14:paraId="3332E588" w14:textId="1153DD80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13.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Drama i kazalište: misteriji, mirakuli i moraliteti</w:t>
            </w:r>
          </w:p>
          <w:p w14:paraId="429C547E" w14:textId="46AE307C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14.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Kontinuitet srednjovjekovne poetike</w:t>
            </w:r>
          </w:p>
          <w:p w14:paraId="0262478F" w14:textId="0F6E71E3" w:rsidR="00A51E69" w:rsidRPr="00D632CE" w:rsidRDefault="00A51E69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 xml:space="preserve">15. </w:t>
            </w:r>
            <w:r w:rsidR="00D632CE" w:rsidRPr="00D632CE">
              <w:rPr>
                <w:rFonts w:ascii="Merriweather" w:hAnsi="Merriweather" w:cs="Times New Roman"/>
                <w:sz w:val="16"/>
                <w:szCs w:val="16"/>
              </w:rPr>
              <w:t>Zaključna razmatranja</w:t>
            </w:r>
          </w:p>
          <w:p w14:paraId="0F5FEE00" w14:textId="21605462" w:rsidR="00A51E69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791F6D1" w14:textId="21157F5B" w:rsid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SEMINARI</w:t>
            </w:r>
          </w:p>
          <w:p w14:paraId="50C381ED" w14:textId="77777777" w:rsidR="00D632CE" w:rsidRP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399B39F9" w14:textId="77777777" w:rsidR="00A51E69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1. Podjela seminarskih zadaća. Upoznavanje s važnijim izdanjima starih hrvatskih tekstova, projektima digitalizacije rukopisa i književnopovijesnom literaturom o starijoj hrvatskoj književnosti (sinteze, studije, važnija periodika)</w:t>
            </w:r>
          </w:p>
          <w:p w14:paraId="47D566E2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2. Mijene poetičkih i retoričkih načela: usporedba književnih primjera iz različitih razdoblja starije hrvatske književnosti</w:t>
            </w:r>
          </w:p>
          <w:p w14:paraId="1745A9C5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3. Hrvatska srednjovjekovna književnost u europskome kontekstu. Književne vrste</w:t>
            </w:r>
          </w:p>
          <w:p w14:paraId="4238FB62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4. Liturgijski rukopisi. Pravni spomenici. Hrvatski epigrafski spomenici;  Važniji rukopisni neliturgijski zbornici</w:t>
            </w:r>
          </w:p>
          <w:p w14:paraId="47274577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5. Narativna proza I: apokrifi</w:t>
            </w:r>
          </w:p>
          <w:p w14:paraId="6167BD60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6. Narativna proza II: svetačke legende, Marijina čudesa</w:t>
            </w:r>
          </w:p>
          <w:p w14:paraId="00AF3CDB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7. Narativna proza III: vizije,  svjetovni romani</w:t>
            </w:r>
          </w:p>
          <w:p w14:paraId="35E380AD" w14:textId="3760C259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8. Narativna proza IV:  povijesni zapisi i kronike</w:t>
            </w:r>
            <w:r>
              <w:rPr>
                <w:rFonts w:ascii="Merriweather" w:hAnsi="Merriweather" w:cs="Times New Roman"/>
                <w:sz w:val="16"/>
                <w:szCs w:val="16"/>
              </w:rPr>
              <w:t>. Kolokvij 1.</w:t>
            </w:r>
          </w:p>
          <w:p w14:paraId="6BA3B1F6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9. Poučna proza</w:t>
            </w:r>
          </w:p>
          <w:p w14:paraId="01EF2448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10. Pjesništvo I</w:t>
            </w:r>
          </w:p>
          <w:p w14:paraId="4E4F7FA6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11. Pjesništvo II</w:t>
            </w:r>
          </w:p>
          <w:p w14:paraId="5AE0E490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12. Dijaloške vrsta: prenja, Marijini plačevi</w:t>
            </w:r>
          </w:p>
          <w:p w14:paraId="00AD5051" w14:textId="77777777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13. Drama i kazalište: misteriji, mirakuli i moraliteti</w:t>
            </w:r>
          </w:p>
          <w:p w14:paraId="13EEEB66" w14:textId="30FBE133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14. Kontinuitet srednjovjekovne poetike</w:t>
            </w:r>
          </w:p>
          <w:p w14:paraId="6E3A408E" w14:textId="15AECE40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sz w:val="16"/>
                <w:szCs w:val="16"/>
              </w:rPr>
              <w:t>15. Zaključna razmatranja</w:t>
            </w:r>
            <w:r>
              <w:rPr>
                <w:rFonts w:ascii="Merriweather" w:hAnsi="Merriweather" w:cs="Times New Roman"/>
                <w:sz w:val="16"/>
                <w:szCs w:val="16"/>
              </w:rPr>
              <w:t>. Kolokvij 2.</w:t>
            </w:r>
          </w:p>
        </w:tc>
      </w:tr>
      <w:tr w:rsidR="00A51E6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20CA7A87" w14:textId="77777777" w:rsidR="00A51E69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28659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LEKTIRA</w:t>
            </w:r>
          </w:p>
          <w:p w14:paraId="1A855F58" w14:textId="77777777" w:rsidR="0028659B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2B7DB320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Kapetanović, Amir. 2010.a. “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Lucidarij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iz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Petrisova zbornika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Građa za povijest književnosti hrvatske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37, str. 3–33.</w:t>
            </w:r>
          </w:p>
          <w:p w14:paraId="104DAAAB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HSP [= Hrvatsko srednjovjekovno pjesništvo] = Amir Kapetanović, Dragica Malić, Kristina Štrkalj Despot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2010.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Hrvatsko srednjovjekovno pjesništvo. Pjesme, plačevi i prikazanja na starohrvatskom jeziku.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Institut za hrvatski jezik i jezikoslovlje.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Pisan svetogo Jurja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Zač mi tužiš, duše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Pisan ot muki Hrstovi; Isusova mučila; Šibenska molitva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Spasi, Marije, svojih vernih; Svit se konča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Cesar, kralje, hercegove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Čuj se vsaki moćno žene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Bratja, brata sprovodimo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Tu mislimo, bratja, ča smo; Marijin plač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 iz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Klimantovićeva zbornika II; Muka Spasitelja našega 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iz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Zbornika prikazanja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0E992602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PSHK 1 [= Pet stoljeća hrvatske književnosti 1] = Vjekoslav Štefanić, Biserka Grabar, Anica Nazor i Marija Pantelić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1969.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književnost srednjega vijeka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Zagreb: Matica hrvatska – Zora.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Baščanska ploča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Zapis popa Martinca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Regula sv. Benedikta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Konstitucije franjevaca III. reda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Ideši že, milostivče, ka požrtiju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Čovjek prodao đavlu svoju ženu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O djevojci bez ruku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Priča o premudrom Akiru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Aleksandrida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Knjige Kata mudroga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Besjede triju svetitelja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Cvijet kreposti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Prikazanje o Uskrsnuću Isusovu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Muka svete Margarite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2453E3EF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Reinhart, Johannes. 2012. “Nauk sinu Vičerdovu u hrvatskoglagoljskoj književnosti”,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Slovo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62, str. 211–232. [Obavezno je izdanje teksta na str. 223–227.]</w:t>
            </w:r>
          </w:p>
          <w:p w14:paraId="415C0D0F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SHK 115 [= Stoljeća hrvatske književnosti 115] = Vesna Badurina Stipčević (prir.). 2013.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Hrvatska srednjovjekovna proza I. Legende i romani.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Matica hrvatska.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Legenda o svetom Većeslavu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Legenda o Ivanu Zlatoustom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Život svete Katarine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Život svete Marije Egipatske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Barlaam i Jozafat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Rumanac trojski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036DCC00" w14:textId="77777777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SHK 116 [= Stoljeća hrvatske književnosti 116] = Marija-Ana D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 xml:space="preserve">ürrigl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(prir.). 2013.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proza II. Apokrifi, vizije, prenja, Marijini mirakuli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Zagreb: Matica hrvatska. [Obavezni su tekstovi: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Život Adama i Eve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O krsnom drvetu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Čtenije prekrasnoga muža i sveta človjeka Osipa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Kako bi prineseno lice Isuhrstovo v Rim i kako pogibe Ana i Kajapa i Pilat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Djela apostola Andrije i Mateja u gradu ljudoždera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Pavlova vizija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b/>
                <w:b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Dundulovo viđenje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Čistilište svetoga Patricija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Kako se je prel' d'javal s Gospodinom Isuhrstom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Slovo meštra Polikarpa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Milost i Istina sretosta se, Pravda i mir obcelivasta se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Djevojka bez očiju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Grešna redovnica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;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 xml:space="preserve"> Sakristanka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Brat Ave Maria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 xml:space="preserve">; </w:t>
            </w:r>
            <w:r w:rsidRPr="00F4399A">
              <w:rPr>
                <w:rFonts w:ascii="Garamond" w:hAnsi="Garamond"/>
                <w:i/>
                <w:iCs/>
                <w:noProof/>
                <w:sz w:val="18"/>
                <w:szCs w:val="18"/>
              </w:rPr>
              <w:t>Svećenik koji je znao služiti samo jednu misu</w:t>
            </w:r>
            <w:r w:rsidRPr="00F4399A">
              <w:rPr>
                <w:rFonts w:ascii="Garamond" w:hAnsi="Garamond"/>
                <w:noProof/>
                <w:sz w:val="18"/>
                <w:szCs w:val="18"/>
              </w:rPr>
              <w:t>.]</w:t>
            </w:r>
          </w:p>
          <w:p w14:paraId="2637BD6C" w14:textId="182F9419" w:rsidR="0028659B" w:rsidRPr="00F4399A" w:rsidRDefault="0028659B" w:rsidP="0028659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lastRenderedPageBreak/>
              <w:t xml:space="preserve">Štrkalj Despot, Kristina. 2010. “Jedini srednjovjekovni hrvatski prozni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planctus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: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Plač devi Marije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iz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Petrisova zbornika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Čakavska rič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38/1-2, str. 155–181. [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Pročitati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izdanje teksta na str. 156–161.]</w:t>
            </w:r>
          </w:p>
          <w:p w14:paraId="78A9F735" w14:textId="6D83F3A5" w:rsidR="0028659B" w:rsidRDefault="0028659B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41B4E49B" w14:textId="2558A426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UVOD U STUDIJ STARIJE </w:t>
            </w:r>
            <w:r w:rsidR="00B94029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HRVATSKE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KNJIŽEVNOSTI</w:t>
            </w:r>
          </w:p>
          <w:p w14:paraId="4419AA1C" w14:textId="279FCE16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1EE8EE1F" w14:textId="53FE635C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Kravar, Zoran. 2008. “Književnopovijesna periodizacija. Teoretske pretpostavke i hrvatska praksa”. U: Tomislav Bogdan; Cvijeta Pavlović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Poslanje filologa. Zbornik radova povodom 70. rođendana Mirka Tomasovića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FF Press, str. 165–172.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[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Umjesto ovoga teksta studenti mogu pročitati i: Kravar, Zoran. 2011. 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Periodizacija</w:t>
            </w:r>
            <w:r w:rsidR="00B94029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 w:rsidR="00B94029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Hrvatska književna enciklopedija, sv. 3: Ma-R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. Zagreb: Leksikografski zavod Miroslav Krleža, str. 334–336.</w:t>
            </w:r>
          </w:p>
          <w:p w14:paraId="6903E9DC" w14:textId="77777777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Mrdeža-Antonina, Divna. 2009. “Interpretacije identiteta starih hrvatskih pisaca”. U: Divna Mrdeža-Antonina.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Drukčiji od drugih? Nacionalni prostor u hrvatskoj književnosti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Disput, str. 163–188.</w:t>
            </w:r>
          </w:p>
          <w:p w14:paraId="562F8B84" w14:textId="77777777" w:rsidR="0028659B" w:rsidRPr="00F4399A" w:rsidRDefault="0028659B" w:rsidP="0028659B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Rapacka, Joanna. 1998. “Uloga regionalizma u hrvatskoj kulturi”. U: Joanna Rapacka.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Zaljubljeni u vilu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Split: Književni krug, str. 191–199.</w:t>
            </w:r>
          </w:p>
          <w:p w14:paraId="38B1FAA2" w14:textId="77777777" w:rsidR="0028659B" w:rsidRDefault="0028659B" w:rsidP="0028659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7A26E890" w14:textId="4B606470" w:rsidR="0028659B" w:rsidRDefault="00502ED6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SREDNJOVJEKOVNA KNJIŽEVNOST</w:t>
            </w:r>
          </w:p>
          <w:p w14:paraId="4BF9EA8A" w14:textId="4DA77F68" w:rsidR="00502ED6" w:rsidRDefault="00502ED6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F570C3B" w14:textId="499181C7" w:rsidR="00502ED6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>
              <w:rPr>
                <w:rFonts w:ascii="Garamond" w:hAnsi="Garamond"/>
                <w:bCs/>
                <w:noProof/>
                <w:sz w:val="18"/>
                <w:szCs w:val="18"/>
              </w:rPr>
              <w:t>Badurina Stipčević, Vesna; D</w:t>
            </w:r>
            <w:r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>ürrigl, Marija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-Ana. 2012.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Srednji vijek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</w:t>
            </w:r>
            <w:r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književna enciklopedija</w:t>
            </w:r>
            <w:r w:rsidR="00B94029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, sv. 4: S-Ž</w:t>
            </w:r>
            <w:r w:rsidR="00B94029">
              <w:rPr>
                <w:rFonts w:ascii="Garamond" w:hAnsi="Garamond"/>
                <w:bCs/>
                <w:noProof/>
                <w:sz w:val="18"/>
                <w:szCs w:val="18"/>
              </w:rPr>
              <w:t>. Zagreb: Leksikografski zavod Miroslav Krleža, str. 121–126.</w:t>
            </w:r>
          </w:p>
          <w:p w14:paraId="103B63CC" w14:textId="0518468C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Batušić, Nikola. 1978.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Povijest hrvatskoga kazališta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Školska knjiga, str. 1–25.</w:t>
            </w:r>
          </w:p>
          <w:p w14:paraId="6AB4B2B7" w14:textId="5CB6B644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2007.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Stari pisci hrvatski i njihove poetike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Drugo, prošireno izdanje. Zagreb: Hrvatska sveučilišna naklada, str. 37–75. [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T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ekstov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na str. 37–62 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mogu se zamijeniti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monografijom Fališevac 1980 koja se nalazi na popisu izborne literature.]</w:t>
            </w:r>
          </w:p>
          <w:p w14:paraId="3138FBC9" w14:textId="19179693" w:rsidR="00502ED6" w:rsidRPr="00502ED6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1975. </w:t>
            </w:r>
            <w:r w:rsidRPr="00502ED6">
              <w:rPr>
                <w:rFonts w:ascii="Garamond" w:hAnsi="Garamond"/>
                <w:bCs/>
                <w:i/>
                <w:noProof/>
                <w:sz w:val="18"/>
                <w:szCs w:val="18"/>
              </w:rPr>
              <w:t xml:space="preserve">Srednjovjekovna književnost. 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>Zagreb: Liber – Mladost, str. 30–31, 41–72, 131–132, 138, 164–187, 195–209, 256–394, 408–424.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[= </w:t>
            </w:r>
            <w:r w:rsidRPr="00502ED6">
              <w:rPr>
                <w:rFonts w:ascii="Garamond" w:hAnsi="Garamond"/>
                <w:bCs/>
                <w:i/>
                <w:noProof/>
                <w:sz w:val="18"/>
                <w:szCs w:val="18"/>
              </w:rPr>
              <w:t>Povijest hrvatske književnosti. Knjiga 2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] </w:t>
            </w:r>
            <w:r w:rsidRPr="00502ED6">
              <w:rPr>
                <w:bCs/>
                <w:noProof/>
                <w:sz w:val="18"/>
                <w:szCs w:val="18"/>
              </w:rPr>
              <w:t>[</w:t>
            </w:r>
            <w:r w:rsidRPr="00502ED6">
              <w:rPr>
                <w:rFonts w:ascii="Garamond" w:hAnsi="Garamond"/>
                <w:bCs/>
                <w:noProof/>
                <w:sz w:val="18"/>
                <w:szCs w:val="18"/>
              </w:rPr>
              <w:t>Studentima koji budu imali poteškoća s praćenjem Hercigonjina izlaganja preporučuje se da prethodno pročitaju Franić Tomić; Novak 2019]</w:t>
            </w:r>
          </w:p>
          <w:p w14:paraId="722017AC" w14:textId="77777777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Kapetanović, Amir. 2010.b. “Najstarije hrvatsko pjesništvo”. U: Amir Kapetanović, Dragica Malić, Kristina Štrkalj Despot (prir.).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Hrvatsko srednjovjekovno pjesništvo. Pjesme, plačevi i prikazanja na starohrvatskom jeziku.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Zagreb: Institut za hrvatski jezik i jezikoslovlje, str. xv–lix. [Za ovaj kolegij ponajprije je važan književnopovijesni dio na str. xv–xxxvii.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11E7F6D8" w14:textId="77777777" w:rsidR="00502ED6" w:rsidRPr="00F4399A" w:rsidRDefault="00502ED6" w:rsidP="00502E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Nemec, Krešimir.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Povijest hrvatskog romana od početaka do kraja 19. stoljeća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Znanje, str. 17–29.</w:t>
            </w:r>
          </w:p>
          <w:p w14:paraId="0B89B5BE" w14:textId="7445D195" w:rsidR="0028659B" w:rsidRPr="00B94029" w:rsidRDefault="00502ED6" w:rsidP="00B9402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Štefanić, Vjekoslav. 1969.a. “Hrvatska pismenost i književnost srednjeg vijeka”. U: Vjekoslav Štefanić, Biserka Grabar, Anica Nazor, Marija Pantelić. (prir.).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književnost srednjega vijeka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Matica hrvatska – Zora, str. 3–62.</w:t>
            </w:r>
          </w:p>
        </w:tc>
      </w:tr>
      <w:tr w:rsidR="00A51E6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3FD21D90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LEKTIRA</w:t>
            </w:r>
          </w:p>
          <w:p w14:paraId="738F0AB7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0960F079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[Tekstovi iz HSP, PSHK 1, SHK 115 i SHK 116 koji nisu uvršteni na popis obavezne lektire.]</w:t>
            </w:r>
          </w:p>
          <w:p w14:paraId="66F608E1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Berčićev zbornik br. 5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Svetlana Olegovna Vialova (prir.).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Berčićev zbornik br. 5. Glagoljski zbornik 15. st. Ruska nacionalna biblioteka. Zbirka Ivana Berčića, f. 67, Berčić br. 5. Knjiga 2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Zadar: Sveučilište u Zadru – Stalna izložba crkvene umjetnosti.</w:t>
            </w:r>
          </w:p>
          <w:p w14:paraId="07BF7F0D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Cvijet kreposti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Antonija Zaradija Kiš, Marinka Šimić. 2020.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Cvijet kreposti ili o naravi ljudskoj kroz narav životinjsku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Studija – Transliteracija – Faksimil.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Zagreb: Hrvatska sveučilišna naklada – Institut za etnologiju i folkloristiku – Staroslavenski institut.</w:t>
            </w:r>
          </w:p>
          <w:p w14:paraId="5879CAFF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Cvitje od gospodina svetoga Frančiska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Josip Hamm (prir.). 1987.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Hrvatska proza Marulićeva vremena II: Acta Pilati i Cvitje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Zagreb: Jugoslavenska akademija znanosti i umjetnosti, str. 73–167. 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 xml:space="preserve">[=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Stari pisci hrvatski 40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536D7818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Dijalozi Grgura Velikoga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Josip Hamm (prir.). 1978.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Hrvatska proza Marulićeva vremena I: Dijalozi Grgura Velikoga u prijevodu iz godine 1513.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Zagreb: Jugoslavenska akademija znanosti i umjetnosti. 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 xml:space="preserve">[=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Stari pisci hrvatski 38]</w:t>
            </w:r>
          </w:p>
          <w:p w14:paraId="29A51A4B" w14:textId="7A68760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Elucidarium 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Stjepan Ivšić. 1949. “Prijevod »Lucidara« Honorija Augustodunensisa u prijepisu Gverina Tihića iz godine 1533.”,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Starine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42, str. 105–259. [Usp. s prijevodom Honorijeva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Elucidarija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iz hrvatskoglagoljs</w:t>
            </w:r>
            <w:r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>koga rukopisa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>: Anica Nazor.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2001.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“Prijevod »Lucidara« Honorija Augustodunensisa u glagoljskom prijepisu”.</w:t>
            </w:r>
            <w:r w:rsidRPr="00F4399A">
              <w:rPr>
                <w:rStyle w:val="normaltextrun"/>
                <w:rFonts w:ascii="Garamond" w:hAnsi="Garamond" w:cs="Calibri"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Godišnik na Sofijskija universitet »Sv. Kliment Ohridski«.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Centa</w:t>
            </w:r>
            <w:r w:rsidRPr="00F4399A">
              <w:rPr>
                <w:rStyle w:val="normaltextrun"/>
                <w:rFonts w:ascii="Garamond" w:hAnsi="Garamond"/>
                <w:i/>
                <w:iCs/>
                <w:noProof/>
                <w:sz w:val="18"/>
                <w:szCs w:val="18"/>
              </w:rPr>
              <w:t>r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za slavjano-vizantijski proučâvanija »Prof. Ivan Dujčev«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89 (8), str.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89–112.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]</w:t>
            </w:r>
          </w:p>
          <w:p w14:paraId="3DEE8677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Fatevićev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Blaga Bunčuga, Josip Faričić, Pavao Kero (ur.).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Riznica glagoljaške kulture i hrvatske pismenosti otoka Rave. Knjiga 3. Fatevićev zbornik duhovnog štiva 1617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Transliterirala Grozdana Franov-Živković. Zadar: Sveučilište u Zadru – Stalna izložba crkvene umjetnosti.</w:t>
            </w:r>
          </w:p>
          <w:p w14:paraId="02A94732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Firentinski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Carlo Verdiani. 1973.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O Marulićevu autorstvu Firentinskog zbornika iz XV stoljeća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Split: Čakavski sabor – Katedra za književnost i kulturu Split, str. 103–307.</w:t>
            </w:r>
          </w:p>
          <w:p w14:paraId="331CF2FA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Historia Salonitana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Toma Arhiđakon. 2003.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Historia Salonitana. Povijest salonitanskih i splitskih prvosvećenika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. Predgovor, latinski tekst, kritički aparat i prijevod na hrvatski jezik Olga Perić. Povijesni komentar Mirjana Matijević-Sokol.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Studija Toma Arhiđakon i njegovo djelo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Radoslav Katičić. Split: Književni krug.</w:t>
            </w:r>
          </w:p>
          <w:p w14:paraId="78A221EF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lastRenderedPageBreak/>
              <w:t xml:space="preserve">Kolunićev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Matija Valjavec (prir.). 1892. </w:t>
            </w:r>
            <w:r w:rsidRPr="00F4399A">
              <w:rPr>
                <w:rFonts w:ascii="Garamond" w:eastAsia="Times New Roman" w:hAnsi="Garamond"/>
                <w:i/>
                <w:iCs/>
                <w:noProof/>
                <w:sz w:val="18"/>
                <w:szCs w:val="18"/>
                <w:shd w:val="clear" w:color="auto" w:fill="FFFFFF"/>
                <w:lang w:eastAsia="en-GB"/>
              </w:rPr>
              <w:t xml:space="preserve">Kolunićev zbornik: hrvatski glagolski rukopis od godine 1486. </w:t>
            </w:r>
            <w:r w:rsidRPr="00F4399A">
              <w:rPr>
                <w:rFonts w:ascii="Garamond" w:eastAsia="Times New Roman" w:hAnsi="Garamond"/>
                <w:noProof/>
                <w:sz w:val="18"/>
                <w:szCs w:val="18"/>
                <w:shd w:val="clear" w:color="auto" w:fill="FFFFFF"/>
                <w:lang w:eastAsia="en-GB"/>
              </w:rPr>
              <w:t>Zagreb: Jugoslavenska akademija znanosti i umjetnosti.</w:t>
            </w:r>
          </w:p>
          <w:p w14:paraId="7EFCB8BE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Libro od mnozijeh razloga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Mateo Žagar (prir.). 2020.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Libro od mnozijeh razloga. Latinički prijepis s komentarima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Matica hrvatska.</w:t>
            </w:r>
          </w:p>
          <w:p w14:paraId="40485905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Obsidio Iadrensis 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 xml:space="preserve">= Branimir Glavičić, Vladimir Vratović, Damir Karbić, Miroslav Kurelac, Zoran Ladić (prir.). 2007. </w:t>
            </w:r>
            <w:r w:rsidRPr="00F4399A">
              <w:rPr>
                <w:rStyle w:val="normaltextrun"/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Obsidio Iadrensis / Opsada Zadra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 xml:space="preserve">. Zagreb: Hrvatska akademija znanosti i umjetnosti. </w:t>
            </w:r>
            <w:r w:rsidRPr="00F4399A">
              <w:rPr>
                <w:rStyle w:val="normaltextrun"/>
                <w:bCs/>
                <w:noProof/>
                <w:sz w:val="18"/>
                <w:szCs w:val="18"/>
              </w:rPr>
              <w:t>[</w:t>
            </w:r>
            <w:r w:rsidRPr="00F4399A"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  <w:t>= Monumenta spectantia historiam Slavorum meridionalium 54</w:t>
            </w:r>
            <w:r w:rsidRPr="00F4399A">
              <w:rPr>
                <w:rStyle w:val="normaltextrun"/>
                <w:bCs/>
                <w:noProof/>
                <w:sz w:val="18"/>
                <w:szCs w:val="18"/>
              </w:rPr>
              <w:t>]</w:t>
            </w:r>
          </w:p>
          <w:p w14:paraId="328BE25E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Osorsko-hvarska pjesmarica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Kristina Štrkalj Despot (prir.). 2016.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Osorsko-hvarska pjesmarica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Institut za hrvatski jezik i jezikoslovlje.</w:t>
            </w:r>
          </w:p>
          <w:p w14:paraId="3B7809EA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Tkonski zbornik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Slavomir Sambunjak (prir.). 2001.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Tkonski zbornik: hrvatskoglagoljski tekstovi iz 16. stoljeća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Tkon: Općina Tkon.</w:t>
            </w:r>
          </w:p>
          <w:p w14:paraId="072120B7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Tlmačenie od muki gospoda našego Isuhrsta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(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Šimun Greblo)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 = Antonija Zaradija Kiš (prir.). 2001. </w:t>
            </w:r>
            <w:r w:rsidRPr="00F4399A">
              <w:rPr>
                <w:rStyle w:val="normaltextrun"/>
                <w:rFonts w:ascii="Garamond" w:hAnsi="Garamond" w:cs="Calibri"/>
                <w:i/>
                <w:noProof/>
                <w:sz w:val="18"/>
                <w:szCs w:val="18"/>
              </w:rPr>
              <w:t>Šimun Greblo i njegovo tumačenje Muke Kristove (1493.)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Pazin: Josip Turčinović – Katedra Čakavskog sabora, Buzet – Institut za etnologiju i folkloristiku – Pazinski kolegij, 2001.</w:t>
            </w:r>
          </w:p>
          <w:p w14:paraId="1CF0C3A1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Zrcalo člověčaskago spasenja =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Martina Kramarić.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2019. </w:t>
            </w:r>
            <w:r w:rsidRPr="00F4399A">
              <w:rPr>
                <w:rStyle w:val="normaltextrun"/>
                <w:rFonts w:ascii="Garamond" w:hAnsi="Garamond"/>
                <w:i/>
                <w:iCs/>
                <w:noProof/>
                <w:sz w:val="18"/>
                <w:szCs w:val="18"/>
              </w:rPr>
              <w:t>Zrcalo člověčaskago spasenja (1445.). Transkripcija, kontekst nastanka i jezičnopovijesna analiza</w:t>
            </w:r>
            <w:r w:rsidRPr="00F4399A">
              <w:rPr>
                <w:rStyle w:val="normaltextrun"/>
                <w:rFonts w:ascii="Garamond" w:hAnsi="Garamond"/>
                <w:noProof/>
                <w:sz w:val="18"/>
                <w:szCs w:val="18"/>
              </w:rPr>
              <w:t>. Zagreb: Institut za hrvatski jezik i jezikoslovlje.</w:t>
            </w:r>
          </w:p>
          <w:p w14:paraId="5B8DC556" w14:textId="77777777" w:rsidR="00C77D5E" w:rsidRPr="00F4399A" w:rsidRDefault="00C77D5E" w:rsidP="00671E26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</w:pP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 xml:space="preserve">Žića svetih otaca 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 xml:space="preserve">= Dragica Malić (prir.). 1997. </w:t>
            </w:r>
            <w:r w:rsidRPr="00F4399A">
              <w:rPr>
                <w:rStyle w:val="normaltextrun"/>
                <w:rFonts w:ascii="Garamond" w:hAnsi="Garamond" w:cs="Calibri"/>
                <w:i/>
                <w:iCs/>
                <w:noProof/>
                <w:sz w:val="18"/>
                <w:szCs w:val="18"/>
              </w:rPr>
              <w:t>Žića svetih otaca. Hrvatska srednjovjekovna proza</w:t>
            </w:r>
            <w:r w:rsidRPr="00F4399A">
              <w:rPr>
                <w:rStyle w:val="normaltextrun"/>
                <w:rFonts w:ascii="Garamond" w:hAnsi="Garamond" w:cs="Calibri"/>
                <w:noProof/>
                <w:sz w:val="18"/>
                <w:szCs w:val="18"/>
              </w:rPr>
              <w:t>. Zagreb: Matica hrvatska – Institut za hrvatski jezik.</w:t>
            </w:r>
          </w:p>
          <w:p w14:paraId="6BBE94D7" w14:textId="77777777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7A90AB1B" w14:textId="519AF368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UVOD U STUDIJ STARIJE HRVATSKE KNJIŽEVNOSTI</w:t>
            </w:r>
          </w:p>
          <w:p w14:paraId="03477CF1" w14:textId="6890E079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3EA06058" w14:textId="77777777" w:rsidR="00B94029" w:rsidRPr="00F4399A" w:rsidRDefault="00B94029" w:rsidP="00671E26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Bogdan, Tomislav. 2015. “Kratki spojevi: zamke kontekstualizacijskih pristupa renesansnoj književnosti”. U: Kristina Pieniążek-Marković, Tvrtko Vuković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Transmisije kroatistike. Zbornik radova s međunarodnoga znanstvenog skupa održanog u Poznanju 9. i 10. prosinca 2013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Filozofski fakultet Sveučilišta u Zagrebu. Odsjek za kroatistiku, str. 19–36.</w:t>
            </w:r>
          </w:p>
          <w:p w14:paraId="299CE65D" w14:textId="6D44B0B5" w:rsidR="00B94029" w:rsidRPr="00F4399A" w:rsidRDefault="00B94029" w:rsidP="00671E26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Dukić, Davor. 2003. “Nacionalna vs. komparativna povijest književnosti. Pretpostavke za kritičko propitivanje komparativne kroatistike i hrvatske komparatistike”,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Umjetnost riječi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47/1-2, str. 3–26. [</w:t>
            </w:r>
            <w:r w:rsidR="00C77D5E">
              <w:rPr>
                <w:rFonts w:ascii="Garamond" w:hAnsi="Garamond"/>
                <w:bCs/>
                <w:noProof/>
                <w:sz w:val="18"/>
                <w:szCs w:val="18"/>
              </w:rPr>
              <w:t>P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osebno obratite pažnju na prijedloge koji se iznose na str. 20–24.]</w:t>
            </w:r>
          </w:p>
          <w:p w14:paraId="19006145" w14:textId="1484E102" w:rsidR="00B94029" w:rsidRDefault="00B94029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48B8C3F2" w14:textId="00418C5D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SREDNJOVJEKOVNA KNJIŽEVNOST</w:t>
            </w:r>
          </w:p>
          <w:p w14:paraId="6DB26A5A" w14:textId="70A70318" w:rsidR="00C77D5E" w:rsidRDefault="00C77D5E" w:rsidP="00B9402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604E6E73" w14:textId="5F8B99A5" w:rsidR="00C77D5E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Allen, Judson Boyce. 1982.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Ethical Poetic of the Later Middle Ages. A decorum of convenient distinction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Toronto – Buffalo – London: University of Toronto Press. </w:t>
            </w:r>
          </w:p>
          <w:p w14:paraId="09923B84" w14:textId="6DCC1B31" w:rsidR="00671E26" w:rsidRPr="00671E26" w:rsidRDefault="00671E26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Bratulić, Josip. 1984. “Hrvatska srednjovjekovna poezija latinskog jezičnog izraza”,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Croatica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20–21, str. 8–26.</w:t>
            </w:r>
          </w:p>
          <w:p w14:paraId="3BF02637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Cavallo, Guglielmo; Roger Chartier (prir.). 1999.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A History of Reading in the West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Lydia G. Cochrane. Cambridge: Polity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Za ovaj su kolegij osobito relevantna poglavlja: M. B. Parkes, “Reading, Copying and Interpreting a Text in the Early Middle Ages” (str. 90–102), Jacqueline Hamesse, “The Scholastic Model of Reading” (str. 103–119), Paul Saegner, “Reading in the Later Middle Ages” (str. 120–148).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06F6F02A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Curtius, Ernst R. 1998.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Europska književnost i latinsko srednjovjekovlje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Preveo Stjepan Markuš. Zagreb: Naprijed. [Poglavlja nisu međusobno tijesno povezana i mogu se čitati kao zasebni članci. Za ovaj kolegij osobito se preporučuju poglavlja o topici (str. 90–118), metaforici (142–160) i retorici (161–183).]</w:t>
            </w:r>
          </w:p>
          <w:p w14:paraId="4A68291D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D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>ü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rrigl, Marija-Ana. 2007.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Čti razumno i lipo. Ogledi o hrvatskoglagoljskoj srednjovjekovnoj književnosti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naklada.</w:t>
            </w:r>
          </w:p>
          <w:p w14:paraId="18FE1DAC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D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>ü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rrigl, Marija-Ana. 2016.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Eshatološke vizije u hrvatskoglagoljskoj književnosti. Poetičke i žanrovske značajke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naklada.</w:t>
            </w:r>
          </w:p>
          <w:p w14:paraId="67C504AE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1980.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proza. Književnopovijesne i poetičke osobine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Sveučilišna naklada Liber.</w:t>
            </w:r>
          </w:p>
          <w:p w14:paraId="0C518611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Fališevac, Dunja. 1997. “Pisan svetogo Jurja”. U: Dunja Fališevac.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Kaliopin vrt. Studije o hrvatskoj epici.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Split: Književni krug, str. 29–39.</w:t>
            </w:r>
          </w:p>
          <w:p w14:paraId="2E910182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Franić Tomić, Viktorija; Slobodan Prosperov Novak. 2019.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srednjovjekovna književnost, sv. I–III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Liliput planet.</w:t>
            </w:r>
          </w:p>
          <w:p w14:paraId="0BF3AF12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2006.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Tropismena i trojezična kultura hrvatskoga srednjovjekovlja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Drugo, dopunjeno i izmijenjeno, izdanje. Zagreb: Matica hrvatska.</w:t>
            </w:r>
          </w:p>
          <w:p w14:paraId="1E900D06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Hercigonja, Eduard. 2009.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Tisućljeće hrvatskoga glagoljaštva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sveučilišna naklada, str. 9–117.</w:t>
            </w:r>
          </w:p>
          <w:p w14:paraId="17505D99" w14:textId="542CB857" w:rsidR="00C77D5E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Ivić, Nenad. 1992.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Domišljanje prošlosti. Kako je trinaestostoljetni splitski arhiđakon Toma napravio svoju salonitansku historiju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Zavod za znanost o književnosti Filozofskoga fakulteta u Zagrebu.</w:t>
            </w:r>
          </w:p>
          <w:p w14:paraId="52A8C02A" w14:textId="30E6E0F5" w:rsidR="00671E26" w:rsidRPr="00671E26" w:rsidRDefault="00671E26" w:rsidP="00671E26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Katičić, Radoslav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sr-Cyrl-RS"/>
              </w:rPr>
              <w:t xml:space="preserve">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  <w:lang w:val="sr-Cyrl-RS"/>
              </w:rPr>
              <w:t>N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a ishodištu. Književnost u hrvatskim zemljama od 7. do 12. stoljeća.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Zagreb: Matica hrvatska.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Studentima koji se žele intenzivnije baviti ranim srednjim vijekom preporučuje se opširnija sinteza istoga autora: Radoslav Katičić. 1998.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Litterarum studia. Književnost i naobrazba ranoga hrvatskog srednjovjekovlja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Matica hrvatska.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486BDED1" w14:textId="7F3BF0A2" w:rsidR="00C77D5E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lastRenderedPageBreak/>
              <w:t xml:space="preserve">Kolumbić, Nikica. 1994.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Po običaju začinjavac. Rasprave o hrvatskoj srednjovjekovnoj književnosti.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Split: Književni krug.</w:t>
            </w:r>
          </w:p>
          <w:p w14:paraId="398B71CF" w14:textId="0D1B572E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Lupić, Ivan. 2021. </w:t>
            </w:r>
            <w:r w:rsidR="00A801FB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“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Rukopisni tragovi Tihićeva Lucidara</w:t>
            </w:r>
            <w:r w:rsidR="00A801FB"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”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</w:t>
            </w:r>
            <w:r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Filologija 76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, str. 53–126.</w:t>
            </w:r>
          </w:p>
          <w:p w14:paraId="6D4FD67C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Melville, Gert. 2016.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World of Medieval Monasticism. Its History and Forms of Life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James D. Mixson. Collegeville, MN: Liturgical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= Cistercian Studies Series 263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  <w:p w14:paraId="2AE44131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Meier, Christel. 1997. “Organisation of knowledge and encyclopaedic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ordo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: functions and purposes of a universal literary genre”. U: Peter Binkley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Pre-Modern Encyclopaedic Texts. Proceedings of the Second COMERS Congress, Groningen, 1-4 July 1996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Leiden – New York – K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>öln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: Brill,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str. 103–126.</w:t>
            </w:r>
          </w:p>
          <w:p w14:paraId="11A5CF3E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Mihaljević, Milan. 2011. “Položaj crkvenoslavenskoga jezika u hrvatskoj srednjovjekovnoj kulturi”. U: I. Velev, A. Girevski, L. Makarijoska, I. Piperkoski, K. Mokrova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Zbornik na trudovi od Međunarodniot naučen sobir »Sveti Naum Ohridski i slovenskata duhovna, kulturna i pismena tradicija« (organiziran po povod 1100-godišninata od smrtta na sv. Naum Ohridski). Ohrid, 4–7 noemvri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Skopje: Univerzitet Sv. Kiril i Metodij, str. 229–238.</w:t>
            </w:r>
          </w:p>
          <w:p w14:paraId="210C3A38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Muir, Lynette R. 1995.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The Biblical Drama of Medieval Europe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Cambridge: Cambridge University Press.</w:t>
            </w:r>
          </w:p>
          <w:p w14:paraId="5368E66D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Olson, Glending.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 xml:space="preserve">1982.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  <w:lang w:val="en-US"/>
              </w:rPr>
              <w:t>Literature as Recreation in the Later Middle Ages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  <w:lang w:val="en-US"/>
              </w:rPr>
              <w:t xml:space="preserve">. Ithaca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– London: Cornell University Press, str. 9–14, 19–38.</w:t>
            </w:r>
          </w:p>
          <w:p w14:paraId="7A5CB98A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Perillo, Francesco Saverio. 1978.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crkvena prikazanja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Split: Čakavski sabor Split.</w:t>
            </w:r>
          </w:p>
          <w:p w14:paraId="5246CA15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Petrović, Ivanka. 1977. “Marijini mirakuli u hrvatskim glagoljskim zbirkama i njihovi evropski izvori”.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 xml:space="preserve">Radovi Staroslavenskog instituta 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8, str. 3–243.</w:t>
            </w:r>
          </w:p>
          <w:p w14:paraId="00C377A7" w14:textId="77777777" w:rsidR="00C77D5E" w:rsidRPr="00F4399A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Petrović, Ivanka. 2000. “Hrvatska i europska hagiografija”. U: Eduard Hercigonja (ur.).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Hrvatska i Europa. Kultura, znanost i umjetnost. II. Srednji vijek (XIII – XVI. stoljeće)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>. Zagreb: Hrvatska akademija znanosti i umjetnosti, str. 321–347.</w:t>
            </w:r>
          </w:p>
          <w:p w14:paraId="63D07860" w14:textId="772826EB" w:rsidR="00A51E69" w:rsidRPr="00C77D5E" w:rsidRDefault="00C77D5E" w:rsidP="00671E2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Garamond" w:hAnsi="Garamond"/>
                <w:bCs/>
                <w:noProof/>
                <w:sz w:val="18"/>
                <w:szCs w:val="18"/>
              </w:rPr>
            </w:pP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Zumthor, Paul. 1992. </w:t>
            </w:r>
            <w:r w:rsidRPr="00F4399A">
              <w:rPr>
                <w:rFonts w:ascii="Garamond" w:hAnsi="Garamond"/>
                <w:bCs/>
                <w:i/>
                <w:iCs/>
                <w:noProof/>
                <w:sz w:val="18"/>
                <w:szCs w:val="18"/>
              </w:rPr>
              <w:t>Toward a Medieval Poetics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. Translated by Philip Bennett. Minneapolis – Oxford: University of Minnesotta Press. </w:t>
            </w:r>
            <w:r w:rsidRPr="00F4399A">
              <w:rPr>
                <w:bCs/>
                <w:noProof/>
                <w:sz w:val="18"/>
                <w:szCs w:val="18"/>
              </w:rPr>
              <w:t>[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Posebno </w:t>
            </w:r>
            <w:r>
              <w:rPr>
                <w:rFonts w:ascii="Garamond" w:hAnsi="Garamond"/>
                <w:bCs/>
                <w:noProof/>
                <w:sz w:val="18"/>
                <w:szCs w:val="18"/>
              </w:rPr>
              <w:t>se preporučuje</w:t>
            </w:r>
            <w:r w:rsidRPr="00F4399A">
              <w:rPr>
                <w:rFonts w:ascii="Garamond" w:hAnsi="Garamond"/>
                <w:bCs/>
                <w:noProof/>
                <w:sz w:val="18"/>
                <w:szCs w:val="18"/>
              </w:rPr>
              <w:t xml:space="preserve"> drugo poglavlje (str. 40–76) u kojemu se obrađuje nestabilnost teksta.</w:t>
            </w:r>
            <w:r w:rsidRPr="00F4399A">
              <w:rPr>
                <w:bCs/>
                <w:noProof/>
                <w:sz w:val="18"/>
                <w:szCs w:val="18"/>
              </w:rPr>
              <w:t>]</w:t>
            </w:r>
          </w:p>
        </w:tc>
      </w:tr>
      <w:tr w:rsidR="00A51E6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3DCC4888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632CE" w:rsidRPr="0017531F" w14:paraId="34BBCECE" w14:textId="77777777" w:rsidTr="001639C3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C55B959" w14:textId="30A1F80B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2080" w:type="dxa"/>
            <w:gridSpan w:val="9"/>
            <w:vAlign w:val="center"/>
          </w:tcPr>
          <w:p w14:paraId="7FB48CCE" w14:textId="77777777" w:rsidR="00D632CE" w:rsidRPr="0017531F" w:rsidRDefault="00784A1F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07E48A9" w14:textId="77777777" w:rsidR="00D632CE" w:rsidRPr="0017531F" w:rsidRDefault="00784A1F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19AC2CCC" w:rsidR="00D632CE" w:rsidRPr="0017531F" w:rsidRDefault="00784A1F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D632CE" w:rsidRPr="0017531F" w:rsidRDefault="00784A1F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632CE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632CE" w:rsidRPr="0017531F" w:rsidRDefault="00784A1F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A825AD1" w14:textId="452A5630" w:rsidR="00D632CE" w:rsidRPr="0017531F" w:rsidRDefault="00784A1F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DC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6E4AB7DF" w:rsidR="00D632CE" w:rsidRPr="0017531F" w:rsidRDefault="00784A1F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2EF43ECF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  <w:r w:rsidR="00926780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 (za studente s kolizijom)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D632CE" w:rsidRPr="0017531F" w:rsidRDefault="00784A1F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54CEB29F" w14:textId="77777777" w:rsidR="00D632CE" w:rsidRPr="0017531F" w:rsidRDefault="00784A1F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322F9123" w:rsidR="00D632CE" w:rsidRPr="0017531F" w:rsidRDefault="00784A1F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632CE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375D7CA5" w14:textId="77777777" w:rsidR="00D632CE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20% usmeno izlaganje i seminarski rad</w:t>
            </w:r>
          </w:p>
          <w:p w14:paraId="10B9CF76" w14:textId="4CC007A8" w:rsidR="00D632CE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30% kolokviji (ili završni pismeni ispit za studente koji ne polože kolokvije)</w:t>
            </w:r>
          </w:p>
          <w:p w14:paraId="646F7F3F" w14:textId="1260E807" w:rsidR="00D632CE" w:rsidRPr="0017531F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50% završni usmeni ispit</w:t>
            </w:r>
          </w:p>
        </w:tc>
      </w:tr>
      <w:tr w:rsidR="00A72E2D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315A8DA2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6EFDE53D" w14:textId="1BC23DB6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61" w:type="dxa"/>
            <w:gridSpan w:val="22"/>
            <w:vAlign w:val="center"/>
          </w:tcPr>
          <w:p w14:paraId="1D503BAA" w14:textId="77777777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72E2D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7D718DD" w14:textId="05C626A5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50-60</w:t>
            </w:r>
          </w:p>
        </w:tc>
        <w:tc>
          <w:tcPr>
            <w:tcW w:w="6061" w:type="dxa"/>
            <w:gridSpan w:val="22"/>
            <w:vAlign w:val="center"/>
          </w:tcPr>
          <w:p w14:paraId="11E1DB10" w14:textId="77777777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72E2D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D5E306A" w14:textId="1DC52BE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61-62</w:t>
            </w:r>
          </w:p>
        </w:tc>
        <w:tc>
          <w:tcPr>
            <w:tcW w:w="6061" w:type="dxa"/>
            <w:gridSpan w:val="22"/>
            <w:vAlign w:val="center"/>
          </w:tcPr>
          <w:p w14:paraId="71740741" w14:textId="232880D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dovoljan/dobar (2.5)</w:t>
            </w:r>
          </w:p>
        </w:tc>
      </w:tr>
      <w:tr w:rsidR="00A72E2D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28E66CD7" w14:textId="30324451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63-74</w:t>
            </w:r>
          </w:p>
        </w:tc>
        <w:tc>
          <w:tcPr>
            <w:tcW w:w="6061" w:type="dxa"/>
            <w:gridSpan w:val="22"/>
            <w:vAlign w:val="center"/>
          </w:tcPr>
          <w:p w14:paraId="2AEA4C99" w14:textId="36AFCFD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dobar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)</w:t>
            </w:r>
          </w:p>
        </w:tc>
      </w:tr>
      <w:tr w:rsidR="00A72E2D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4BE2DC1" w14:textId="13739385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75-76</w:t>
            </w:r>
          </w:p>
        </w:tc>
        <w:tc>
          <w:tcPr>
            <w:tcW w:w="6061" w:type="dxa"/>
            <w:gridSpan w:val="22"/>
            <w:vAlign w:val="center"/>
          </w:tcPr>
          <w:p w14:paraId="5EEE0A7F" w14:textId="697ACE5C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hAnsi="Merriweather" w:cs="Times New Roman"/>
                <w:sz w:val="16"/>
                <w:szCs w:val="16"/>
              </w:rPr>
              <w:t>dobar/vrlo dobar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r>
              <w:rPr>
                <w:rFonts w:ascii="Merriweather" w:hAnsi="Merriweather" w:cs="Times New Roman"/>
                <w:sz w:val="16"/>
                <w:szCs w:val="16"/>
              </w:rPr>
              <w:t>3.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>5)</w:t>
            </w:r>
          </w:p>
        </w:tc>
      </w:tr>
      <w:tr w:rsidR="00A72E2D" w:rsidRPr="0017531F" w14:paraId="44841FC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4063AF1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E100C8A" w14:textId="53EF22B7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77-87</w:t>
            </w:r>
          </w:p>
        </w:tc>
        <w:tc>
          <w:tcPr>
            <w:tcW w:w="6061" w:type="dxa"/>
            <w:gridSpan w:val="22"/>
            <w:vAlign w:val="center"/>
          </w:tcPr>
          <w:p w14:paraId="18BDCD92" w14:textId="737177DF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72E2D" w:rsidRPr="0017531F" w14:paraId="0F287BD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A50AC35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3EB70D5" w14:textId="1ADC3BF4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88-89</w:t>
            </w:r>
          </w:p>
        </w:tc>
        <w:tc>
          <w:tcPr>
            <w:tcW w:w="6061" w:type="dxa"/>
            <w:gridSpan w:val="22"/>
            <w:vAlign w:val="center"/>
          </w:tcPr>
          <w:p w14:paraId="7A544D5A" w14:textId="477C8939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vrlo dobar/odličan (4.5)</w:t>
            </w:r>
          </w:p>
        </w:tc>
      </w:tr>
      <w:tr w:rsidR="00A72E2D" w:rsidRPr="0017531F" w14:paraId="29E1D68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560B97F" w14:textId="77777777" w:rsidR="00A72E2D" w:rsidRPr="0017531F" w:rsidRDefault="00A72E2D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7AB92D60" w14:textId="5CF0D77E" w:rsidR="00A72E2D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2"/>
            <w:vAlign w:val="center"/>
          </w:tcPr>
          <w:p w14:paraId="2D0EBFD3" w14:textId="0D8B0C68" w:rsidR="00A72E2D" w:rsidRPr="0017531F" w:rsidRDefault="00A72E2D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% odličan (5)</w:t>
            </w:r>
          </w:p>
        </w:tc>
      </w:tr>
      <w:tr w:rsidR="00D632C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7BCEF03" w14:textId="77777777" w:rsidR="00D632CE" w:rsidRPr="0017531F" w:rsidRDefault="00784A1F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632CE" w:rsidRPr="0017531F" w:rsidRDefault="00784A1F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632CE" w:rsidRPr="0017531F" w:rsidRDefault="00784A1F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632CE" w:rsidRPr="0017531F" w:rsidRDefault="00784A1F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632CE" w:rsidRPr="0017531F" w:rsidRDefault="00784A1F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632C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02B1DDEE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91B4CD3" w14:textId="5FE53286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7A712" w14:textId="77777777" w:rsidR="00784A1F" w:rsidRDefault="00784A1F" w:rsidP="009947BA">
      <w:pPr>
        <w:spacing w:before="0" w:after="0"/>
      </w:pPr>
      <w:r>
        <w:separator/>
      </w:r>
    </w:p>
  </w:endnote>
  <w:endnote w:type="continuationSeparator" w:id="0">
    <w:p w14:paraId="07A77A2E" w14:textId="77777777" w:rsidR="00784A1F" w:rsidRDefault="00784A1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3F549" w14:textId="77777777" w:rsidR="00784A1F" w:rsidRDefault="00784A1F" w:rsidP="009947BA">
      <w:pPr>
        <w:spacing w:before="0" w:after="0"/>
      </w:pPr>
      <w:r>
        <w:separator/>
      </w:r>
    </w:p>
  </w:footnote>
  <w:footnote w:type="continuationSeparator" w:id="0">
    <w:p w14:paraId="3202E3FB" w14:textId="77777777" w:rsidR="00784A1F" w:rsidRDefault="00784A1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DAE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79B3"/>
    <w:multiLevelType w:val="hybridMultilevel"/>
    <w:tmpl w:val="59A4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5D2B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1603B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3BE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F633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27123"/>
    <w:multiLevelType w:val="hybridMultilevel"/>
    <w:tmpl w:val="03FC50E0"/>
    <w:lvl w:ilvl="0" w:tplc="F0A48A9C"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33EA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52872"/>
    <w:multiLevelType w:val="hybridMultilevel"/>
    <w:tmpl w:val="A66874A4"/>
    <w:lvl w:ilvl="0" w:tplc="3DFE8F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A27FC"/>
    <w:multiLevelType w:val="hybridMultilevel"/>
    <w:tmpl w:val="17C4432E"/>
    <w:lvl w:ilvl="0" w:tplc="BC7A26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467D9"/>
    <w:multiLevelType w:val="hybridMultilevel"/>
    <w:tmpl w:val="C716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4F90"/>
    <w:rsid w:val="00022827"/>
    <w:rsid w:val="00040679"/>
    <w:rsid w:val="00065784"/>
    <w:rsid w:val="000A17AF"/>
    <w:rsid w:val="000A1C80"/>
    <w:rsid w:val="000C0578"/>
    <w:rsid w:val="0010332B"/>
    <w:rsid w:val="001443A2"/>
    <w:rsid w:val="00150B32"/>
    <w:rsid w:val="0017531F"/>
    <w:rsid w:val="00197510"/>
    <w:rsid w:val="001C7C51"/>
    <w:rsid w:val="002024AA"/>
    <w:rsid w:val="00226462"/>
    <w:rsid w:val="00226B4D"/>
    <w:rsid w:val="0022722C"/>
    <w:rsid w:val="002349FC"/>
    <w:rsid w:val="0028545A"/>
    <w:rsid w:val="0028659B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3F1BB0"/>
    <w:rsid w:val="004063A6"/>
    <w:rsid w:val="00441457"/>
    <w:rsid w:val="00453182"/>
    <w:rsid w:val="00453362"/>
    <w:rsid w:val="00461219"/>
    <w:rsid w:val="00470F6D"/>
    <w:rsid w:val="00483BC3"/>
    <w:rsid w:val="004B1B3D"/>
    <w:rsid w:val="004B553E"/>
    <w:rsid w:val="004D3CB6"/>
    <w:rsid w:val="004F6CB4"/>
    <w:rsid w:val="00502ED6"/>
    <w:rsid w:val="00507C65"/>
    <w:rsid w:val="00527C5F"/>
    <w:rsid w:val="005353ED"/>
    <w:rsid w:val="005514C3"/>
    <w:rsid w:val="005E1668"/>
    <w:rsid w:val="005E5F80"/>
    <w:rsid w:val="005F6E0B"/>
    <w:rsid w:val="0062328F"/>
    <w:rsid w:val="00671E26"/>
    <w:rsid w:val="00684BBC"/>
    <w:rsid w:val="006B4920"/>
    <w:rsid w:val="006C6326"/>
    <w:rsid w:val="00700D7A"/>
    <w:rsid w:val="00721260"/>
    <w:rsid w:val="007361E7"/>
    <w:rsid w:val="007368EB"/>
    <w:rsid w:val="0078125F"/>
    <w:rsid w:val="00784A1F"/>
    <w:rsid w:val="00794496"/>
    <w:rsid w:val="007967CC"/>
    <w:rsid w:val="0079745E"/>
    <w:rsid w:val="00797B40"/>
    <w:rsid w:val="007A6F5D"/>
    <w:rsid w:val="007C43A4"/>
    <w:rsid w:val="007D4D2D"/>
    <w:rsid w:val="00827988"/>
    <w:rsid w:val="008348C1"/>
    <w:rsid w:val="00865776"/>
    <w:rsid w:val="00874D5D"/>
    <w:rsid w:val="00891C60"/>
    <w:rsid w:val="008942F0"/>
    <w:rsid w:val="008D45DB"/>
    <w:rsid w:val="0090214F"/>
    <w:rsid w:val="00911DBE"/>
    <w:rsid w:val="009163E6"/>
    <w:rsid w:val="00926780"/>
    <w:rsid w:val="009556F6"/>
    <w:rsid w:val="00971BEB"/>
    <w:rsid w:val="009760E8"/>
    <w:rsid w:val="009947BA"/>
    <w:rsid w:val="00997F41"/>
    <w:rsid w:val="009A3A9D"/>
    <w:rsid w:val="009C56B1"/>
    <w:rsid w:val="009D5226"/>
    <w:rsid w:val="009E2FD4"/>
    <w:rsid w:val="00A06750"/>
    <w:rsid w:val="00A51E69"/>
    <w:rsid w:val="00A72E2D"/>
    <w:rsid w:val="00A7797B"/>
    <w:rsid w:val="00A801FB"/>
    <w:rsid w:val="00A9132B"/>
    <w:rsid w:val="00AA1A5A"/>
    <w:rsid w:val="00AA4EB4"/>
    <w:rsid w:val="00AD23FB"/>
    <w:rsid w:val="00B10700"/>
    <w:rsid w:val="00B45CBA"/>
    <w:rsid w:val="00B71A57"/>
    <w:rsid w:val="00B7307A"/>
    <w:rsid w:val="00B76952"/>
    <w:rsid w:val="00B81291"/>
    <w:rsid w:val="00B94029"/>
    <w:rsid w:val="00BE05DB"/>
    <w:rsid w:val="00C02454"/>
    <w:rsid w:val="00C32A7C"/>
    <w:rsid w:val="00C3477B"/>
    <w:rsid w:val="00C77D5E"/>
    <w:rsid w:val="00C85956"/>
    <w:rsid w:val="00C9733D"/>
    <w:rsid w:val="00CA3783"/>
    <w:rsid w:val="00CB23F4"/>
    <w:rsid w:val="00CC07F1"/>
    <w:rsid w:val="00D136E4"/>
    <w:rsid w:val="00D2557D"/>
    <w:rsid w:val="00D5334D"/>
    <w:rsid w:val="00D5523D"/>
    <w:rsid w:val="00D632CE"/>
    <w:rsid w:val="00D944DF"/>
    <w:rsid w:val="00DD110C"/>
    <w:rsid w:val="00DD3B74"/>
    <w:rsid w:val="00DE6D53"/>
    <w:rsid w:val="00E01AEC"/>
    <w:rsid w:val="00E06E39"/>
    <w:rsid w:val="00E07D73"/>
    <w:rsid w:val="00E17D18"/>
    <w:rsid w:val="00E30999"/>
    <w:rsid w:val="00E30E67"/>
    <w:rsid w:val="00E34DC3"/>
    <w:rsid w:val="00E46760"/>
    <w:rsid w:val="00E91141"/>
    <w:rsid w:val="00E95E51"/>
    <w:rsid w:val="00EB5A72"/>
    <w:rsid w:val="00F02A8F"/>
    <w:rsid w:val="00F226EC"/>
    <w:rsid w:val="00F22855"/>
    <w:rsid w:val="00F27634"/>
    <w:rsid w:val="00F513E0"/>
    <w:rsid w:val="00F566DA"/>
    <w:rsid w:val="00F82834"/>
    <w:rsid w:val="00F84F5E"/>
    <w:rsid w:val="00F958E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0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ipvuckovic@yaho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2627D-BE99-4FC5-B7E3-4CD22A86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2024-09-26T07:26:00Z</dcterms:created>
  <dcterms:modified xsi:type="dcterms:W3CDTF">2024-09-26T07:26:00Z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